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4A01B0">
      <w:pPr>
        <w:pBdr>
          <w:top w:val="single" w:sz="4" w:space="1" w:color="auto"/>
          <w:left w:val="single" w:sz="4" w:space="4" w:color="auto"/>
          <w:bottom w:val="single" w:sz="4" w:space="1" w:color="auto"/>
          <w:right w:val="single" w:sz="4" w:space="4" w:color="auto"/>
        </w:pBdr>
        <w:spacing w:after="0" w:line="240" w:lineRule="auto"/>
        <w:ind w:firstLine="720"/>
        <w:jc w:val="center"/>
        <w:rPr>
          <w:b/>
          <w:sz w:val="48"/>
          <w:szCs w:val="48"/>
        </w:rPr>
      </w:pPr>
      <w:r>
        <w:rPr>
          <w:b/>
          <w:sz w:val="48"/>
          <w:szCs w:val="48"/>
        </w:rPr>
        <w:t>CALL TO ACTION</w:t>
      </w:r>
      <w:r w:rsidR="004A01B0">
        <w:rPr>
          <w:b/>
          <w:sz w:val="48"/>
          <w:szCs w:val="48"/>
        </w:rPr>
        <w:t xml:space="preserve"> UPDATE</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w:t>
      </w:r>
      <w:r w:rsidR="00BA4E44">
        <w:rPr>
          <w:b/>
          <w:sz w:val="28"/>
        </w:rPr>
        <w:t>Governor’s Proposal</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BA4E44"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Jan. 1</w:t>
      </w:r>
      <w:r w:rsidR="006635A5">
        <w:rPr>
          <w:b/>
          <w:sz w:val="24"/>
          <w:szCs w:val="24"/>
        </w:rPr>
        <w:t>9</w:t>
      </w:r>
      <w:r>
        <w:rPr>
          <w:b/>
          <w:sz w:val="24"/>
          <w:szCs w:val="24"/>
        </w:rPr>
        <w:t>, 2023</w:t>
      </w:r>
    </w:p>
    <w:p w:rsidR="006775F8" w:rsidRPr="00835483" w:rsidRDefault="00083E05" w:rsidP="00892E5E">
      <w:pPr>
        <w:spacing w:before="120" w:after="0" w:line="240" w:lineRule="auto"/>
        <w:rPr>
          <w:rFonts w:cstheme="minorHAnsi"/>
          <w:sz w:val="24"/>
          <w:szCs w:val="24"/>
        </w:rPr>
      </w:pPr>
      <w:r w:rsidRPr="00835483">
        <w:rPr>
          <w:rFonts w:cstheme="minorHAnsi"/>
          <w:sz w:val="24"/>
          <w:szCs w:val="24"/>
        </w:rPr>
        <w:t>With tax cuts and the low SSA rate</w:t>
      </w:r>
      <w:r>
        <w:rPr>
          <w:rFonts w:cstheme="minorHAnsi"/>
          <w:sz w:val="24"/>
          <w:szCs w:val="24"/>
        </w:rPr>
        <w:t>s</w:t>
      </w:r>
      <w:r w:rsidRPr="00835483">
        <w:rPr>
          <w:rFonts w:cstheme="minorHAnsi"/>
          <w:sz w:val="24"/>
          <w:szCs w:val="24"/>
        </w:rPr>
        <w:t xml:space="preserve"> </w:t>
      </w:r>
      <w:r>
        <w:rPr>
          <w:rFonts w:cstheme="minorHAnsi"/>
          <w:sz w:val="24"/>
          <w:szCs w:val="24"/>
        </w:rPr>
        <w:t>lagging high inflation,</w:t>
      </w:r>
      <w:r w:rsidRPr="00835483">
        <w:rPr>
          <w:rFonts w:cstheme="minorHAnsi"/>
          <w:sz w:val="24"/>
          <w:szCs w:val="24"/>
        </w:rPr>
        <w:t xml:space="preserve"> </w:t>
      </w:r>
      <w:r w:rsidR="006635A5">
        <w:rPr>
          <w:rFonts w:cstheme="minorHAnsi"/>
          <w:sz w:val="24"/>
          <w:szCs w:val="24"/>
        </w:rPr>
        <w:t>UEN members encourage the Legislature to oppose</w:t>
      </w:r>
      <w:r w:rsidRPr="00835483">
        <w:rPr>
          <w:rFonts w:cstheme="minorHAnsi"/>
          <w:sz w:val="24"/>
          <w:szCs w:val="24"/>
        </w:rPr>
        <w:t xml:space="preserve"> funding a private school initiative that would send public dollars to private schools without accountability</w:t>
      </w:r>
      <w:r w:rsidR="006635A5">
        <w:rPr>
          <w:rFonts w:cstheme="minorHAnsi"/>
          <w:sz w:val="24"/>
          <w:szCs w:val="24"/>
        </w:rPr>
        <w:t xml:space="preserve"> while inhibiting the state’s ability to adequately fund public education</w:t>
      </w:r>
      <w:r w:rsidRPr="00835483">
        <w:rPr>
          <w:rFonts w:cstheme="minorHAnsi"/>
          <w:sz w:val="24"/>
          <w:szCs w:val="24"/>
        </w:rPr>
        <w:t xml:space="preserve">. Bills </w:t>
      </w:r>
      <w:r w:rsidR="006635A5">
        <w:rPr>
          <w:rFonts w:cstheme="minorHAnsi"/>
          <w:sz w:val="24"/>
          <w:szCs w:val="24"/>
        </w:rPr>
        <w:t xml:space="preserve">(new numbers) </w:t>
      </w:r>
      <w:r w:rsidRPr="00835483">
        <w:rPr>
          <w:rFonts w:cstheme="minorHAnsi"/>
          <w:sz w:val="24"/>
          <w:szCs w:val="24"/>
        </w:rPr>
        <w:t xml:space="preserve">are being considered in </w:t>
      </w:r>
      <w:r w:rsidR="006635A5">
        <w:rPr>
          <w:rFonts w:cstheme="minorHAnsi"/>
          <w:sz w:val="24"/>
          <w:szCs w:val="24"/>
        </w:rPr>
        <w:t xml:space="preserve">the </w:t>
      </w:r>
      <w:r w:rsidRPr="00835483">
        <w:rPr>
          <w:rFonts w:cstheme="minorHAnsi"/>
          <w:sz w:val="24"/>
          <w:szCs w:val="24"/>
        </w:rPr>
        <w:t xml:space="preserve">House </w:t>
      </w:r>
      <w:hyperlink r:id="rId7" w:history="1">
        <w:r w:rsidR="006635A5" w:rsidRPr="006635A5">
          <w:rPr>
            <w:rStyle w:val="Hyperlink"/>
            <w:rFonts w:cstheme="minorHAnsi"/>
            <w:sz w:val="24"/>
            <w:szCs w:val="24"/>
          </w:rPr>
          <w:t xml:space="preserve">HF 68 </w:t>
        </w:r>
      </w:hyperlink>
      <w:r w:rsidR="006635A5">
        <w:rPr>
          <w:rFonts w:cstheme="minorHAnsi"/>
          <w:sz w:val="24"/>
          <w:szCs w:val="24"/>
        </w:rPr>
        <w:t xml:space="preserve"> </w:t>
      </w:r>
      <w:r w:rsidRPr="00835483">
        <w:rPr>
          <w:rFonts w:cstheme="minorHAnsi"/>
          <w:sz w:val="24"/>
          <w:szCs w:val="24"/>
        </w:rPr>
        <w:t xml:space="preserve">and Senate </w:t>
      </w:r>
      <w:hyperlink r:id="rId8" w:history="1">
        <w:r w:rsidR="006635A5" w:rsidRPr="00FF3DE2">
          <w:rPr>
            <w:rStyle w:val="Hyperlink"/>
            <w:sz w:val="24"/>
          </w:rPr>
          <w:t>SF 94</w:t>
        </w:r>
      </w:hyperlink>
      <w:r w:rsidR="006635A5" w:rsidRPr="00FF3DE2">
        <w:rPr>
          <w:sz w:val="24"/>
        </w:rPr>
        <w:t xml:space="preserve"> </w:t>
      </w:r>
      <w:r w:rsidRPr="00835483">
        <w:rPr>
          <w:rFonts w:cstheme="minorHAnsi"/>
          <w:sz w:val="24"/>
          <w:szCs w:val="24"/>
        </w:rPr>
        <w:t xml:space="preserve">on Education Savings Accounts. </w:t>
      </w:r>
      <w:r w:rsidR="006635A5" w:rsidRPr="006635A5">
        <w:rPr>
          <w:rFonts w:cstheme="minorHAnsi"/>
          <w:color w:val="262828"/>
          <w:sz w:val="24"/>
          <w:szCs w:val="24"/>
        </w:rPr>
        <w:t xml:space="preserve">Since these bills are moving quickly, advocacy actions must be taken this weekend and </w:t>
      </w:r>
      <w:r w:rsidR="006635A5">
        <w:rPr>
          <w:rFonts w:cstheme="minorHAnsi"/>
          <w:color w:val="262828"/>
        </w:rPr>
        <w:t>Monday</w:t>
      </w:r>
      <w:r w:rsidR="006635A5" w:rsidRPr="006635A5">
        <w:rPr>
          <w:rFonts w:cstheme="minorHAnsi"/>
          <w:color w:val="262828"/>
          <w:sz w:val="24"/>
          <w:szCs w:val="24"/>
        </w:rPr>
        <w:t>. See the</w:t>
      </w:r>
      <w:r w:rsidR="006635A5" w:rsidRPr="006635A5">
        <w:rPr>
          <w:rFonts w:cstheme="minorHAnsi"/>
          <w:b/>
          <w:color w:val="666666"/>
          <w:sz w:val="24"/>
          <w:szCs w:val="24"/>
        </w:rPr>
        <w:t xml:space="preserve"> </w:t>
      </w:r>
      <w:hyperlink r:id="rId9" w:history="1">
        <w:r w:rsidR="006635A5" w:rsidRPr="006635A5">
          <w:rPr>
            <w:rStyle w:val="Hyperlink"/>
            <w:rFonts w:cstheme="minorHAnsi"/>
            <w:b/>
            <w:bCs/>
            <w:sz w:val="24"/>
            <w:szCs w:val="24"/>
          </w:rPr>
          <w:t>Oppose Education Savings Accounts (ESAs) and School Choice Expansion Issue Brief</w:t>
        </w:r>
      </w:hyperlink>
    </w:p>
    <w:p w:rsidR="000C2C16" w:rsidRPr="000C2C16" w:rsidRDefault="00BA4E44" w:rsidP="000C2C1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0C2C16">
        <w:rPr>
          <w:rFonts w:cstheme="minorHAnsi"/>
          <w:b/>
          <w:sz w:val="24"/>
          <w:szCs w:val="24"/>
        </w:rPr>
        <w:t>Status</w:t>
      </w:r>
      <w:r w:rsidR="006775F8" w:rsidRPr="000C2C16">
        <w:rPr>
          <w:rFonts w:cstheme="minorHAnsi"/>
          <w:b/>
          <w:sz w:val="24"/>
          <w:szCs w:val="24"/>
        </w:rPr>
        <w:t>:</w:t>
      </w:r>
      <w:r w:rsidR="006775F8" w:rsidRPr="000C2C16">
        <w:rPr>
          <w:rFonts w:cstheme="minorHAnsi"/>
          <w:sz w:val="24"/>
          <w:szCs w:val="24"/>
        </w:rPr>
        <w:t xml:space="preserve"> </w:t>
      </w:r>
      <w:r w:rsidRPr="000C2C16">
        <w:rPr>
          <w:rFonts w:cstheme="minorHAnsi"/>
          <w:sz w:val="24"/>
          <w:szCs w:val="24"/>
        </w:rPr>
        <w:t xml:space="preserve">Action is expected next week in both House and Senate </w:t>
      </w:r>
      <w:r w:rsidR="006635A5">
        <w:rPr>
          <w:rFonts w:cstheme="minorHAnsi"/>
          <w:sz w:val="24"/>
          <w:szCs w:val="24"/>
        </w:rPr>
        <w:t>Chambers</w:t>
      </w:r>
      <w:r w:rsidR="006E4A38" w:rsidRPr="000C2C16">
        <w:rPr>
          <w:rFonts w:cstheme="minorHAnsi"/>
          <w:sz w:val="24"/>
          <w:szCs w:val="24"/>
        </w:rPr>
        <w:t xml:space="preserve">. </w:t>
      </w:r>
    </w:p>
    <w:p w:rsidR="00263183" w:rsidRDefault="00BA4E44" w:rsidP="00263183">
      <w:pPr>
        <w:pBdr>
          <w:top w:val="single" w:sz="4" w:space="1" w:color="auto"/>
          <w:left w:val="single" w:sz="4" w:space="4" w:color="auto"/>
          <w:bottom w:val="single" w:sz="4" w:space="1" w:color="auto"/>
          <w:right w:val="single" w:sz="4" w:space="4" w:color="auto"/>
        </w:pBdr>
        <w:spacing w:before="120" w:after="0" w:line="240" w:lineRule="auto"/>
        <w:rPr>
          <w:rFonts w:cstheme="minorHAnsi"/>
          <w:color w:val="262828"/>
          <w:sz w:val="24"/>
          <w:szCs w:val="24"/>
        </w:rPr>
      </w:pPr>
      <w:r w:rsidRPr="000C2C16">
        <w:rPr>
          <w:rFonts w:cstheme="minorHAnsi"/>
          <w:color w:val="262828"/>
          <w:sz w:val="24"/>
          <w:szCs w:val="24"/>
        </w:rPr>
        <w:t xml:space="preserve">Having been considered </w:t>
      </w:r>
      <w:r w:rsidR="006635A5">
        <w:rPr>
          <w:rFonts w:cstheme="minorHAnsi"/>
          <w:color w:val="262828"/>
          <w:sz w:val="24"/>
          <w:szCs w:val="24"/>
        </w:rPr>
        <w:t xml:space="preserve">and approved on party lines </w:t>
      </w:r>
      <w:r w:rsidRPr="000C2C16">
        <w:rPr>
          <w:rFonts w:cstheme="minorHAnsi"/>
          <w:color w:val="262828"/>
          <w:sz w:val="24"/>
          <w:szCs w:val="24"/>
        </w:rPr>
        <w:t xml:space="preserve">by the Senate </w:t>
      </w:r>
      <w:r w:rsidR="006635A5">
        <w:rPr>
          <w:rFonts w:cstheme="minorHAnsi"/>
          <w:color w:val="262828"/>
          <w:sz w:val="24"/>
          <w:szCs w:val="24"/>
        </w:rPr>
        <w:t>Education Committee on Jan. 18 and the Senate Appropriations Committee on Jan. 19, the bill moves to the Senate Calendar</w:t>
      </w:r>
      <w:r w:rsidRPr="000C2C16">
        <w:rPr>
          <w:rFonts w:cstheme="minorHAnsi"/>
          <w:color w:val="262828"/>
          <w:sz w:val="24"/>
          <w:szCs w:val="24"/>
        </w:rPr>
        <w:t xml:space="preserve">. The </w:t>
      </w:r>
      <w:r w:rsidR="006635A5">
        <w:rPr>
          <w:rFonts w:cstheme="minorHAnsi"/>
          <w:color w:val="262828"/>
          <w:sz w:val="24"/>
          <w:szCs w:val="24"/>
        </w:rPr>
        <w:t>bill could be referred to the</w:t>
      </w:r>
      <w:r w:rsidR="00263183">
        <w:rPr>
          <w:rFonts w:cstheme="minorHAnsi"/>
          <w:color w:val="262828"/>
          <w:sz w:val="24"/>
          <w:szCs w:val="24"/>
        </w:rPr>
        <w:t xml:space="preserve"> Senate Ways and Means Committee since the Education Savings Account payment is exempted from Iowa income tax liability in the bill. </w:t>
      </w:r>
    </w:p>
    <w:p w:rsidR="001B14A3" w:rsidRPr="00263183" w:rsidRDefault="006635A5" w:rsidP="00263183">
      <w:pPr>
        <w:pBdr>
          <w:top w:val="single" w:sz="4" w:space="1" w:color="auto"/>
          <w:left w:val="single" w:sz="4" w:space="4" w:color="auto"/>
          <w:bottom w:val="single" w:sz="4" w:space="1" w:color="auto"/>
          <w:right w:val="single" w:sz="4" w:space="4" w:color="auto"/>
        </w:pBdr>
        <w:spacing w:before="120" w:after="0" w:line="240" w:lineRule="auto"/>
        <w:rPr>
          <w:rFonts w:cstheme="minorHAnsi"/>
          <w:color w:val="666666"/>
          <w:sz w:val="24"/>
        </w:rPr>
      </w:pPr>
      <w:r w:rsidRPr="00263183">
        <w:rPr>
          <w:rFonts w:cstheme="minorHAnsi"/>
          <w:color w:val="262828"/>
          <w:sz w:val="24"/>
        </w:rPr>
        <w:t>In House Committee action</w:t>
      </w:r>
      <w:r w:rsidR="00BA4E44" w:rsidRPr="00263183">
        <w:rPr>
          <w:rFonts w:cstheme="minorHAnsi"/>
          <w:color w:val="262828"/>
          <w:sz w:val="24"/>
        </w:rPr>
        <w:t xml:space="preserve">, </w:t>
      </w:r>
      <w:r w:rsidRPr="00263183">
        <w:rPr>
          <w:rFonts w:cstheme="minorHAnsi"/>
          <w:color w:val="262828"/>
          <w:sz w:val="24"/>
        </w:rPr>
        <w:t>following Tuesday’s public hearing, the Education Reform Committee met on Wed.,</w:t>
      </w:r>
      <w:r w:rsidR="00D67F79" w:rsidRPr="00263183">
        <w:rPr>
          <w:rFonts w:cstheme="minorHAnsi"/>
          <w:color w:val="262828"/>
          <w:sz w:val="24"/>
        </w:rPr>
        <w:t xml:space="preserve"> </w:t>
      </w:r>
      <w:r w:rsidR="007C56E1" w:rsidRPr="00263183">
        <w:rPr>
          <w:rFonts w:cstheme="minorHAnsi"/>
          <w:color w:val="262828"/>
          <w:sz w:val="24"/>
        </w:rPr>
        <w:t>Jan 18</w:t>
      </w:r>
      <w:r w:rsidRPr="00263183">
        <w:rPr>
          <w:rFonts w:cstheme="minorHAnsi"/>
          <w:color w:val="262828"/>
          <w:sz w:val="24"/>
        </w:rPr>
        <w:t xml:space="preserve"> and moved the bill forward on party lines.</w:t>
      </w:r>
      <w:r w:rsidR="00BA4E44" w:rsidRPr="00263183">
        <w:rPr>
          <w:rFonts w:cstheme="minorHAnsi"/>
          <w:color w:val="262828"/>
          <w:sz w:val="24"/>
        </w:rPr>
        <w:t xml:space="preserve"> </w:t>
      </w:r>
      <w:hyperlink r:id="rId10" w:history="1">
        <w:r w:rsidR="000A301A" w:rsidRPr="00263183">
          <w:rPr>
            <w:rStyle w:val="Hyperlink"/>
            <w:rFonts w:eastAsiaTheme="minorEastAsia" w:cstheme="minorHAnsi"/>
            <w:sz w:val="24"/>
          </w:rPr>
          <w:t>HR 3</w:t>
        </w:r>
      </w:hyperlink>
      <w:r w:rsidR="000A301A" w:rsidRPr="00263183">
        <w:rPr>
          <w:rFonts w:eastAsiaTheme="minorEastAsia" w:cstheme="minorHAnsi"/>
          <w:color w:val="262828"/>
          <w:sz w:val="24"/>
        </w:rPr>
        <w:t>, also on the House Calendar, exempts bills from the Ed</w:t>
      </w:r>
      <w:r w:rsidRPr="00263183">
        <w:rPr>
          <w:rFonts w:eastAsiaTheme="minorEastAsia" w:cstheme="minorHAnsi"/>
          <w:color w:val="262828"/>
          <w:sz w:val="24"/>
        </w:rPr>
        <w:t>ucation</w:t>
      </w:r>
      <w:r w:rsidR="000A301A" w:rsidRPr="00263183">
        <w:rPr>
          <w:rFonts w:eastAsiaTheme="minorEastAsia" w:cstheme="minorHAnsi"/>
          <w:color w:val="262828"/>
          <w:sz w:val="24"/>
        </w:rPr>
        <w:t xml:space="preserve"> Reform Committee from Appropriations and Ways &amp; Means steps</w:t>
      </w:r>
      <w:r w:rsidRPr="00263183">
        <w:rPr>
          <w:rFonts w:eastAsiaTheme="minorEastAsia" w:cstheme="minorHAnsi"/>
          <w:color w:val="262828"/>
          <w:sz w:val="24"/>
        </w:rPr>
        <w:t>, meaning the House could debate early next week as well.</w:t>
      </w:r>
    </w:p>
    <w:p w:rsidR="00892E5E" w:rsidRPr="00835483" w:rsidRDefault="00E15B5F" w:rsidP="00E51EF7">
      <w:pPr>
        <w:spacing w:before="120" w:after="0" w:line="240" w:lineRule="auto"/>
        <w:rPr>
          <w:rFonts w:cstheme="minorHAnsi"/>
          <w:b/>
          <w:sz w:val="24"/>
          <w:szCs w:val="24"/>
        </w:rPr>
      </w:pPr>
      <w:r w:rsidRPr="00835483">
        <w:rPr>
          <w:rFonts w:cstheme="minorHAnsi"/>
          <w:b/>
          <w:sz w:val="24"/>
          <w:szCs w:val="24"/>
        </w:rPr>
        <w:t>Key Messages</w:t>
      </w:r>
      <w:r w:rsidR="00892E5E" w:rsidRPr="00835483">
        <w:rPr>
          <w:rFonts w:cstheme="minorHAnsi"/>
          <w:b/>
          <w:sz w:val="24"/>
          <w:szCs w:val="24"/>
        </w:rPr>
        <w:t xml:space="preserve">: </w:t>
      </w:r>
    </w:p>
    <w:p w:rsidR="00BA4E44" w:rsidRPr="00835483" w:rsidRDefault="00BA4E44" w:rsidP="00263183">
      <w:pPr>
        <w:numPr>
          <w:ilvl w:val="0"/>
          <w:numId w:val="44"/>
        </w:numPr>
        <w:spacing w:after="120" w:line="240" w:lineRule="auto"/>
        <w:rPr>
          <w:rFonts w:cstheme="minorHAnsi"/>
          <w:sz w:val="24"/>
          <w:szCs w:val="24"/>
        </w:rPr>
      </w:pPr>
      <w:r w:rsidRPr="00835483">
        <w:rPr>
          <w:rFonts w:cstheme="minorHAnsi"/>
          <w:sz w:val="24"/>
          <w:szCs w:val="24"/>
        </w:rPr>
        <w:t xml:space="preserve">Education Savings Accounts shift funds from public schools to private schools, limiting or eliminating programs and opportunities for students in public schools. </w:t>
      </w:r>
    </w:p>
    <w:p w:rsidR="00BA4E44" w:rsidRPr="00835483" w:rsidRDefault="00BA4E44" w:rsidP="00263183">
      <w:pPr>
        <w:numPr>
          <w:ilvl w:val="0"/>
          <w:numId w:val="44"/>
        </w:numPr>
        <w:spacing w:after="120" w:line="240" w:lineRule="auto"/>
        <w:rPr>
          <w:rFonts w:cstheme="minorHAnsi"/>
          <w:sz w:val="24"/>
          <w:szCs w:val="24"/>
        </w:rPr>
      </w:pPr>
      <w:r w:rsidRPr="00835483">
        <w:rPr>
          <w:rFonts w:cstheme="minorHAnsi"/>
          <w:sz w:val="24"/>
          <w:szCs w:val="24"/>
        </w:rPr>
        <w:t>The Governor’s 2024 Proposal is a costly and expansive voucher program, which will cost between $300-$400 million annually, phased in at a time when historic tax cuts are estimated to lower state general fund revenues by $1.8 billion annually, or 20%. If the legislature overextends</w:t>
      </w:r>
      <w:r w:rsidR="004A01B0">
        <w:rPr>
          <w:rFonts w:cstheme="minorHAnsi"/>
          <w:sz w:val="24"/>
          <w:szCs w:val="24"/>
        </w:rPr>
        <w:t xml:space="preserve">, </w:t>
      </w:r>
      <w:r w:rsidRPr="00835483">
        <w:rPr>
          <w:rFonts w:cstheme="minorHAnsi"/>
          <w:sz w:val="24"/>
          <w:szCs w:val="24"/>
        </w:rPr>
        <w:t>public schools will not be adequately funded. Paying for this program with one-time money does not align with the conservative budgeting principles that positioned Iowa well coming out of the pandemic.</w:t>
      </w:r>
    </w:p>
    <w:p w:rsidR="00BA4E44" w:rsidRPr="00835483" w:rsidRDefault="00BA4E44" w:rsidP="00263183">
      <w:pPr>
        <w:pStyle w:val="ListParagraph"/>
        <w:numPr>
          <w:ilvl w:val="0"/>
          <w:numId w:val="44"/>
        </w:numPr>
        <w:spacing w:after="120" w:line="240" w:lineRule="auto"/>
        <w:contextualSpacing w:val="0"/>
        <w:rPr>
          <w:rFonts w:cstheme="minorHAnsi"/>
          <w:sz w:val="24"/>
          <w:szCs w:val="24"/>
        </w:rPr>
      </w:pPr>
      <w:r w:rsidRPr="00835483">
        <w:rPr>
          <w:rFonts w:cstheme="minorHAnsi"/>
          <w:sz w:val="24"/>
          <w:szCs w:val="24"/>
        </w:rPr>
        <w:t xml:space="preserve">ESA and voucher programs don’t offer parents real choice. Private schools pick and choose who they </w:t>
      </w:r>
      <w:bookmarkStart w:id="0" w:name="_Int_4X222R6f"/>
      <w:r w:rsidRPr="00835483">
        <w:rPr>
          <w:rFonts w:cstheme="minorHAnsi"/>
          <w:sz w:val="24"/>
          <w:szCs w:val="24"/>
        </w:rPr>
        <w:t>accept</w:t>
      </w:r>
      <w:bookmarkEnd w:id="0"/>
      <w:r w:rsidRPr="00835483">
        <w:rPr>
          <w:rFonts w:cstheme="minorHAnsi"/>
          <w:sz w:val="24"/>
          <w:szCs w:val="24"/>
        </w:rPr>
        <w:t xml:space="preserve">. Public schools accept ALL students. </w:t>
      </w:r>
    </w:p>
    <w:p w:rsidR="00BA4E44" w:rsidRPr="00835483" w:rsidRDefault="00BA4E44" w:rsidP="00263183">
      <w:pPr>
        <w:pStyle w:val="ListParagraph"/>
        <w:numPr>
          <w:ilvl w:val="0"/>
          <w:numId w:val="44"/>
        </w:numPr>
        <w:spacing w:after="120" w:line="240" w:lineRule="auto"/>
        <w:contextualSpacing w:val="0"/>
        <w:rPr>
          <w:rFonts w:eastAsiaTheme="minorEastAsia" w:cstheme="minorHAnsi"/>
          <w:color w:val="000000" w:themeColor="text1"/>
          <w:sz w:val="24"/>
          <w:szCs w:val="24"/>
        </w:rPr>
      </w:pPr>
      <w:r w:rsidRPr="00835483">
        <w:rPr>
          <w:rFonts w:cstheme="minorHAnsi"/>
          <w:sz w:val="24"/>
          <w:szCs w:val="24"/>
        </w:rPr>
        <w:t>Almost 75% of public schools are in rural areas with little to no access to private schools. Most families will be excluded from participating in a voucher program</w:t>
      </w:r>
      <w:r w:rsidRPr="00835483">
        <w:rPr>
          <w:rFonts w:eastAsiaTheme="minorEastAsia" w:cstheme="minorHAnsi"/>
          <w:color w:val="000000" w:themeColor="text1"/>
          <w:sz w:val="24"/>
          <w:szCs w:val="24"/>
        </w:rPr>
        <w:t>.</w:t>
      </w:r>
    </w:p>
    <w:p w:rsidR="00BA4E44" w:rsidRPr="00835483" w:rsidRDefault="00BA4E44" w:rsidP="00263183">
      <w:pPr>
        <w:pStyle w:val="ListParagraph"/>
        <w:numPr>
          <w:ilvl w:val="0"/>
          <w:numId w:val="44"/>
        </w:numPr>
        <w:spacing w:after="120" w:line="240" w:lineRule="auto"/>
        <w:contextualSpacing w:val="0"/>
        <w:rPr>
          <w:rFonts w:eastAsiaTheme="minorEastAsia" w:cstheme="minorHAnsi"/>
          <w:color w:val="000000" w:themeColor="text1"/>
          <w:sz w:val="24"/>
          <w:szCs w:val="24"/>
        </w:rPr>
      </w:pPr>
      <w:r w:rsidRPr="00835483">
        <w:rPr>
          <w:rFonts w:cstheme="minorHAnsi"/>
          <w:sz w:val="24"/>
          <w:szCs w:val="24"/>
        </w:rPr>
        <w:t>Vouchers increase costs by creating two competing school systems. This is likely to reduce resources for public schools, which educate 90% of students. Public schools are accountable and transparent to the parents, the community they serve, and the taxpayers who fund them.</w:t>
      </w:r>
      <w:r w:rsidR="005F7EB4">
        <w:rPr>
          <w:rFonts w:cstheme="minorHAnsi"/>
          <w:sz w:val="24"/>
          <w:szCs w:val="24"/>
        </w:rPr>
        <w:t xml:space="preserve"> </w:t>
      </w:r>
      <w:r w:rsidRPr="00835483">
        <w:rPr>
          <w:rFonts w:cstheme="minorHAnsi"/>
          <w:sz w:val="24"/>
          <w:szCs w:val="24"/>
        </w:rPr>
        <w:lastRenderedPageBreak/>
        <w:t>Private schools do not have the same state requirements for accountability and transparency or oversight by taxpayers.</w:t>
      </w:r>
    </w:p>
    <w:p w:rsidR="0052701A" w:rsidRDefault="00BA4E44" w:rsidP="00263183">
      <w:pPr>
        <w:pStyle w:val="ListParagraph"/>
        <w:numPr>
          <w:ilvl w:val="0"/>
          <w:numId w:val="44"/>
        </w:numPr>
        <w:spacing w:line="240" w:lineRule="auto"/>
        <w:contextualSpacing w:val="0"/>
        <w:rPr>
          <w:rFonts w:cstheme="minorHAnsi"/>
          <w:sz w:val="24"/>
          <w:szCs w:val="24"/>
        </w:rPr>
      </w:pPr>
      <w:r w:rsidRPr="00835483">
        <w:rPr>
          <w:rFonts w:cstheme="minorHAnsi"/>
          <w:sz w:val="24"/>
          <w:szCs w:val="24"/>
        </w:rPr>
        <w:t>Iowa already has many parent choice options.</w:t>
      </w:r>
      <w:r w:rsidR="00FB0632">
        <w:rPr>
          <w:rFonts w:cstheme="minorHAnsi"/>
          <w:sz w:val="24"/>
          <w:szCs w:val="24"/>
        </w:rPr>
        <w:t xml:space="preserve"> </w:t>
      </w:r>
    </w:p>
    <w:p w:rsidR="004A01B0" w:rsidRDefault="004A01B0" w:rsidP="00263183">
      <w:pPr>
        <w:pStyle w:val="ListParagraph"/>
        <w:numPr>
          <w:ilvl w:val="0"/>
          <w:numId w:val="44"/>
        </w:numPr>
        <w:spacing w:line="240" w:lineRule="auto"/>
        <w:contextualSpacing w:val="0"/>
        <w:rPr>
          <w:rFonts w:cstheme="minorHAnsi"/>
          <w:sz w:val="24"/>
          <w:szCs w:val="24"/>
        </w:rPr>
      </w:pPr>
      <w:r>
        <w:rPr>
          <w:rFonts w:cstheme="minorHAnsi"/>
          <w:sz w:val="24"/>
          <w:szCs w:val="24"/>
        </w:rPr>
        <w:t>Categorical Flexibility in this bill is not significant. Districts can already use ending balance from professional development and teacher leadership and compensation funds for any general fund purpose including teacher salaries. The only new flexibility i</w:t>
      </w:r>
      <w:r w:rsidR="001A6CCB">
        <w:rPr>
          <w:rFonts w:cstheme="minorHAnsi"/>
          <w:sz w:val="24"/>
          <w:szCs w:val="24"/>
        </w:rPr>
        <w:t>s</w:t>
      </w:r>
      <w:bookmarkStart w:id="1" w:name="_GoBack"/>
      <w:bookmarkEnd w:id="1"/>
      <w:r>
        <w:rPr>
          <w:rFonts w:cstheme="minorHAnsi"/>
          <w:sz w:val="24"/>
          <w:szCs w:val="24"/>
        </w:rPr>
        <w:t xml:space="preserve"> from Talented and Gifted funds.</w:t>
      </w:r>
      <w:r w:rsidR="00D67F79">
        <w:rPr>
          <w:rFonts w:cstheme="minorHAnsi"/>
          <w:sz w:val="24"/>
          <w:szCs w:val="24"/>
        </w:rPr>
        <w:t xml:space="preserve"> </w:t>
      </w:r>
      <w:r>
        <w:rPr>
          <w:rFonts w:cstheme="minorHAnsi"/>
          <w:sz w:val="24"/>
          <w:szCs w:val="24"/>
        </w:rPr>
        <w:t xml:space="preserve">School boards are counseled not to use one-time funds for ongoing expenses such as teacher salaries. </w:t>
      </w:r>
    </w:p>
    <w:p w:rsidR="004A01B0" w:rsidRPr="00835483" w:rsidRDefault="004A01B0" w:rsidP="00263183">
      <w:pPr>
        <w:pStyle w:val="ListParagraph"/>
        <w:numPr>
          <w:ilvl w:val="0"/>
          <w:numId w:val="44"/>
        </w:numPr>
        <w:spacing w:line="240" w:lineRule="auto"/>
        <w:contextualSpacing w:val="0"/>
        <w:rPr>
          <w:rFonts w:cstheme="minorHAnsi"/>
          <w:sz w:val="24"/>
          <w:szCs w:val="24"/>
        </w:rPr>
      </w:pPr>
      <w:r>
        <w:rPr>
          <w:rFonts w:cstheme="minorHAnsi"/>
          <w:sz w:val="24"/>
          <w:szCs w:val="24"/>
        </w:rPr>
        <w:t xml:space="preserve">Retention of $1,205 categorical funds for every resident student receiving an education savings account is also welcomed, however, not of benefit to any rural districts without students attending private schools and is overly restrictive as the funds retain their categorical constraints. Meanwhile, districts lose $10,500 in funding tied to enrollment, for a net loss of $9,295 per pupil leaving the public school for the private option. </w:t>
      </w:r>
      <w:r w:rsidR="00CE31BD">
        <w:rPr>
          <w:rFonts w:cstheme="minorHAnsi"/>
          <w:sz w:val="24"/>
          <w:szCs w:val="24"/>
        </w:rPr>
        <w:t xml:space="preserve">For urban districts, the loss of dropout prevention and instructional support funding are both significant as concentrated poverty and minority student populations are intensified by ESA programs in other states. </w:t>
      </w:r>
    </w:p>
    <w:p w:rsidR="00EB2984" w:rsidRDefault="00EB2984" w:rsidP="00EB2984">
      <w:pPr>
        <w:spacing w:after="0" w:line="240" w:lineRule="auto"/>
        <w:rPr>
          <w:rFonts w:cstheme="minorHAnsi"/>
          <w:sz w:val="24"/>
          <w:szCs w:val="24"/>
        </w:rPr>
      </w:pPr>
    </w:p>
    <w:p w:rsidR="00835483" w:rsidRPr="00835483" w:rsidRDefault="00835483" w:rsidP="00D73876">
      <w:pPr>
        <w:rPr>
          <w:rFonts w:cstheme="minorHAnsi"/>
          <w:sz w:val="24"/>
          <w:szCs w:val="24"/>
        </w:rPr>
      </w:pPr>
      <w:r w:rsidRPr="00835483">
        <w:rPr>
          <w:rFonts w:cstheme="minorHAnsi"/>
          <w:sz w:val="24"/>
          <w:szCs w:val="24"/>
        </w:rPr>
        <w:t xml:space="preserve">See the </w:t>
      </w:r>
      <w:hyperlink r:id="rId11" w:history="1">
        <w:r w:rsidRPr="00FB0632">
          <w:rPr>
            <w:rStyle w:val="Hyperlink"/>
            <w:rFonts w:cstheme="minorHAnsi"/>
            <w:sz w:val="24"/>
            <w:szCs w:val="24"/>
          </w:rPr>
          <w:t xml:space="preserve">UEN Weekly Report </w:t>
        </w:r>
        <w:r w:rsidR="00FB0632" w:rsidRPr="00FB0632">
          <w:rPr>
            <w:rStyle w:val="Hyperlink"/>
            <w:rFonts w:cstheme="minorHAnsi"/>
            <w:sz w:val="24"/>
            <w:szCs w:val="24"/>
          </w:rPr>
          <w:t>from</w:t>
        </w:r>
        <w:r w:rsidRPr="00FB0632">
          <w:rPr>
            <w:rStyle w:val="Hyperlink"/>
            <w:rFonts w:cstheme="minorHAnsi"/>
            <w:sz w:val="24"/>
            <w:szCs w:val="24"/>
          </w:rPr>
          <w:t xml:space="preserve"> Jan. 13, 2023</w:t>
        </w:r>
      </w:hyperlink>
      <w:r w:rsidRPr="00835483">
        <w:rPr>
          <w:rFonts w:cstheme="minorHAnsi"/>
          <w:sz w:val="24"/>
          <w:szCs w:val="24"/>
        </w:rPr>
        <w:t xml:space="preserve"> for a bill summary and additional UEN concerns. </w:t>
      </w:r>
    </w:p>
    <w:p w:rsidR="00835483" w:rsidRPr="00835483" w:rsidRDefault="00835483" w:rsidP="00D73876">
      <w:pPr>
        <w:rPr>
          <w:rFonts w:cstheme="minorHAnsi"/>
          <w:sz w:val="24"/>
          <w:szCs w:val="24"/>
        </w:rPr>
      </w:pPr>
    </w:p>
    <w:p w:rsidR="00D73876" w:rsidRPr="00835483" w:rsidRDefault="004564DF" w:rsidP="00D73876">
      <w:pPr>
        <w:rPr>
          <w:rStyle w:val="Hyperlink"/>
          <w:rFonts w:cstheme="minorHAnsi"/>
          <w:sz w:val="24"/>
          <w:szCs w:val="24"/>
        </w:rPr>
      </w:pPr>
      <w:r w:rsidRPr="00835483">
        <w:rPr>
          <w:rFonts w:cstheme="minorHAnsi"/>
          <w:sz w:val="24"/>
          <w:szCs w:val="24"/>
        </w:rPr>
        <w:t>F</w:t>
      </w:r>
      <w:r w:rsidR="00C56623" w:rsidRPr="00835483">
        <w:rPr>
          <w:rFonts w:cstheme="minorHAnsi"/>
          <w:sz w:val="24"/>
          <w:szCs w:val="24"/>
        </w:rPr>
        <w:t xml:space="preserve">ind </w:t>
      </w:r>
      <w:r w:rsidRPr="00835483">
        <w:rPr>
          <w:rFonts w:cstheme="minorHAnsi"/>
          <w:sz w:val="24"/>
          <w:szCs w:val="24"/>
        </w:rPr>
        <w:t xml:space="preserve">your </w:t>
      </w:r>
      <w:r w:rsidR="00041170" w:rsidRPr="00835483">
        <w:rPr>
          <w:rFonts w:cstheme="minorHAnsi"/>
          <w:sz w:val="24"/>
          <w:szCs w:val="24"/>
        </w:rPr>
        <w:t xml:space="preserve">Representatives </w:t>
      </w:r>
      <w:r w:rsidR="00C56623" w:rsidRPr="00835483">
        <w:rPr>
          <w:rFonts w:cstheme="minorHAnsi"/>
          <w:sz w:val="24"/>
          <w:szCs w:val="24"/>
        </w:rPr>
        <w:t xml:space="preserve">here: </w:t>
      </w:r>
      <w:hyperlink r:id="rId12" w:history="1">
        <w:r w:rsidR="00D73876" w:rsidRPr="00835483">
          <w:rPr>
            <w:rStyle w:val="Hyperlink"/>
            <w:rFonts w:cstheme="minorHAnsi"/>
            <w:sz w:val="24"/>
            <w:szCs w:val="24"/>
          </w:rPr>
          <w:t>https://www.legis.iowa.gov/legislators/house</w:t>
        </w:r>
      </w:hyperlink>
    </w:p>
    <w:p w:rsidR="004564DF" w:rsidRPr="00835483" w:rsidRDefault="004564DF" w:rsidP="004564DF">
      <w:pPr>
        <w:spacing w:line="240" w:lineRule="auto"/>
        <w:rPr>
          <w:rFonts w:cstheme="minorHAnsi"/>
          <w:sz w:val="24"/>
          <w:szCs w:val="24"/>
        </w:rPr>
      </w:pPr>
      <w:r w:rsidRPr="00835483">
        <w:rPr>
          <w:rFonts w:cstheme="minorHAnsi"/>
          <w:sz w:val="24"/>
          <w:szCs w:val="24"/>
        </w:rPr>
        <w:t xml:space="preserve">Find your Senator’s contact information here: </w:t>
      </w:r>
      <w:hyperlink r:id="rId13" w:history="1">
        <w:r w:rsidRPr="00835483">
          <w:rPr>
            <w:rStyle w:val="Hyperlink"/>
            <w:rFonts w:cstheme="minorHAnsi"/>
            <w:sz w:val="24"/>
            <w:szCs w:val="24"/>
          </w:rPr>
          <w:t>https://www.legis.iowa.gov/legislators/senate</w:t>
        </w:r>
      </w:hyperlink>
    </w:p>
    <w:p w:rsidR="00D5168E" w:rsidRPr="00835483" w:rsidRDefault="00835483" w:rsidP="004564DF">
      <w:pPr>
        <w:rPr>
          <w:rFonts w:cstheme="minorHAnsi"/>
          <w:sz w:val="24"/>
          <w:szCs w:val="24"/>
        </w:rPr>
      </w:pPr>
      <w:r w:rsidRPr="00835483">
        <w:rPr>
          <w:rFonts w:cstheme="minorHAnsi"/>
          <w:sz w:val="24"/>
          <w:szCs w:val="24"/>
        </w:rPr>
        <w:t>Reach them at home over the weekend.</w:t>
      </w:r>
      <w:r w:rsidR="005F7EB4">
        <w:rPr>
          <w:rFonts w:cstheme="minorHAnsi"/>
          <w:sz w:val="24"/>
          <w:szCs w:val="24"/>
        </w:rPr>
        <w:t xml:space="preserve"> </w:t>
      </w:r>
      <w:r w:rsidR="0026726D" w:rsidRPr="00835483">
        <w:rPr>
          <w:rFonts w:cstheme="minorHAnsi"/>
          <w:sz w:val="24"/>
          <w:szCs w:val="24"/>
        </w:rPr>
        <w:t xml:space="preserve">To call and leave a message at the Statehouse, the House switchboard operator number is 515.281-3221. You can ask if they are available, leave a message for them to call you back, or just leave a short message such as </w:t>
      </w:r>
      <w:r w:rsidRPr="00835483">
        <w:rPr>
          <w:rFonts w:cstheme="minorHAnsi"/>
          <w:sz w:val="24"/>
          <w:szCs w:val="24"/>
        </w:rPr>
        <w:t>“please oppose the Governor’s expansive and fiscally irresponsible school choice proposal.”</w:t>
      </w:r>
      <w:r w:rsidR="005F7EB4">
        <w:rPr>
          <w:rFonts w:cstheme="minorHAnsi"/>
          <w:sz w:val="24"/>
          <w:szCs w:val="24"/>
        </w:rPr>
        <w:t xml:space="preserve"> </w:t>
      </w:r>
      <w:r w:rsidR="0026726D" w:rsidRPr="00835483">
        <w:rPr>
          <w:rFonts w:cstheme="minorHAnsi"/>
          <w:sz w:val="24"/>
          <w:szCs w:val="24"/>
        </w:rPr>
        <w:t xml:space="preserve">(Legislators </w:t>
      </w:r>
      <w:r w:rsidR="004564DF" w:rsidRPr="00835483">
        <w:rPr>
          <w:rFonts w:cstheme="minorHAnsi"/>
          <w:sz w:val="24"/>
          <w:szCs w:val="24"/>
        </w:rPr>
        <w:t xml:space="preserve">are </w:t>
      </w:r>
      <w:r w:rsidR="0026726D" w:rsidRPr="00835483">
        <w:rPr>
          <w:rFonts w:cstheme="minorHAnsi"/>
          <w:sz w:val="24"/>
          <w:szCs w:val="24"/>
        </w:rPr>
        <w:t xml:space="preserve">typically </w:t>
      </w:r>
      <w:r w:rsidR="004564DF" w:rsidRPr="00835483">
        <w:rPr>
          <w:rFonts w:cstheme="minorHAnsi"/>
          <w:sz w:val="24"/>
          <w:szCs w:val="24"/>
        </w:rPr>
        <w:t xml:space="preserve">at the Capitol from Monday midday through Thursday afternoon.) </w:t>
      </w:r>
    </w:p>
    <w:sectPr w:rsidR="00D5168E" w:rsidRPr="00835483" w:rsidSect="008B0204">
      <w:headerReference w:type="default" r:id="rId14"/>
      <w:footerReference w:type="default" r:id="rId15"/>
      <w:headerReference w:type="first" r:id="rId16"/>
      <w:footerReference w:type="first" r:id="rId17"/>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2A5" w:rsidRDefault="005442A5" w:rsidP="00D84F6F">
      <w:pPr>
        <w:spacing w:after="0" w:line="240" w:lineRule="auto"/>
      </w:pPr>
      <w:r>
        <w:separator/>
      </w:r>
    </w:p>
  </w:endnote>
  <w:endnote w:type="continuationSeparator" w:id="0">
    <w:p w:rsidR="005442A5" w:rsidRDefault="005442A5"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8B0204" w:rsidRPr="008B0204" w:rsidRDefault="00D005F7"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005F7" w:rsidRDefault="00D005F7" w:rsidP="00D005F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2A5" w:rsidRDefault="005442A5" w:rsidP="00D84F6F">
      <w:pPr>
        <w:spacing w:after="0" w:line="240" w:lineRule="auto"/>
      </w:pPr>
      <w:r>
        <w:separator/>
      </w:r>
    </w:p>
  </w:footnote>
  <w:footnote w:type="continuationSeparator" w:id="0">
    <w:p w:rsidR="005442A5" w:rsidRDefault="005442A5"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005F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1A6CCB">
          <w:rPr>
            <w:noProof/>
            <w:sz w:val="16"/>
            <w:szCs w:val="16"/>
          </w:rPr>
          <w:t>2</w:t>
        </w:r>
        <w:r w:rsidR="00DE1031" w:rsidRPr="00DE1031">
          <w:rPr>
            <w:noProof/>
            <w:sz w:val="16"/>
            <w:szCs w:val="16"/>
          </w:rPr>
          <w:fldChar w:fldCharType="end"/>
        </w:r>
      </w:sdtContent>
    </w:sdt>
  </w:p>
  <w:p w:rsidR="00DE1031" w:rsidRDefault="00FF3DE2" w:rsidP="00DE1031">
    <w:pPr>
      <w:pStyle w:val="Header"/>
      <w:rPr>
        <w:sz w:val="16"/>
        <w:szCs w:val="16"/>
      </w:rPr>
    </w:pPr>
    <w:r>
      <w:rPr>
        <w:sz w:val="16"/>
        <w:szCs w:val="16"/>
      </w:rPr>
      <w:t>Jan. 19</w:t>
    </w:r>
    <w:r w:rsidR="00835483">
      <w:rPr>
        <w:sz w:val="16"/>
        <w:szCs w:val="16"/>
      </w:rPr>
      <w:t>, 2023</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7" w:rsidRDefault="00D005F7" w:rsidP="00D005F7">
    <w:pPr>
      <w:pStyle w:val="Header"/>
    </w:pPr>
    <w:r>
      <w:rPr>
        <w:noProof/>
      </w:rPr>
      <w:drawing>
        <wp:anchor distT="0" distB="0" distL="114300" distR="114300" simplePos="0" relativeHeight="251659264" behindDoc="1" locked="0" layoutInCell="1" allowOverlap="1" wp14:anchorId="0C315C89" wp14:editId="5CB7B614">
          <wp:simplePos x="0" y="0"/>
          <wp:positionH relativeFrom="margin">
            <wp:align>center</wp:align>
          </wp:positionH>
          <wp:positionV relativeFrom="paragraph">
            <wp:posOffset>-110490</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E4729"/>
    <w:multiLevelType w:val="hybridMultilevel"/>
    <w:tmpl w:val="58E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A1F0C"/>
    <w:multiLevelType w:val="multilevel"/>
    <w:tmpl w:val="82E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6"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455A0"/>
    <w:multiLevelType w:val="hybridMultilevel"/>
    <w:tmpl w:val="632C1928"/>
    <w:lvl w:ilvl="0" w:tplc="9ADC6AD2">
      <w:start w:val="1"/>
      <w:numFmt w:val="bullet"/>
      <w:lvlText w:val="•"/>
      <w:lvlJc w:val="left"/>
      <w:pPr>
        <w:tabs>
          <w:tab w:val="num" w:pos="720"/>
        </w:tabs>
        <w:ind w:left="720" w:hanging="360"/>
      </w:pPr>
      <w:rPr>
        <w:rFonts w:ascii="Arial" w:hAnsi="Arial" w:hint="default"/>
      </w:rPr>
    </w:lvl>
    <w:lvl w:ilvl="1" w:tplc="5748BC88" w:tentative="1">
      <w:start w:val="1"/>
      <w:numFmt w:val="bullet"/>
      <w:lvlText w:val="•"/>
      <w:lvlJc w:val="left"/>
      <w:pPr>
        <w:tabs>
          <w:tab w:val="num" w:pos="1440"/>
        </w:tabs>
        <w:ind w:left="1440" w:hanging="360"/>
      </w:pPr>
      <w:rPr>
        <w:rFonts w:ascii="Arial" w:hAnsi="Arial" w:hint="default"/>
      </w:rPr>
    </w:lvl>
    <w:lvl w:ilvl="2" w:tplc="4BD0BD9C" w:tentative="1">
      <w:start w:val="1"/>
      <w:numFmt w:val="bullet"/>
      <w:lvlText w:val="•"/>
      <w:lvlJc w:val="left"/>
      <w:pPr>
        <w:tabs>
          <w:tab w:val="num" w:pos="2160"/>
        </w:tabs>
        <w:ind w:left="2160" w:hanging="360"/>
      </w:pPr>
      <w:rPr>
        <w:rFonts w:ascii="Arial" w:hAnsi="Arial" w:hint="default"/>
      </w:rPr>
    </w:lvl>
    <w:lvl w:ilvl="3" w:tplc="AEDE0AF8" w:tentative="1">
      <w:start w:val="1"/>
      <w:numFmt w:val="bullet"/>
      <w:lvlText w:val="•"/>
      <w:lvlJc w:val="left"/>
      <w:pPr>
        <w:tabs>
          <w:tab w:val="num" w:pos="2880"/>
        </w:tabs>
        <w:ind w:left="2880" w:hanging="360"/>
      </w:pPr>
      <w:rPr>
        <w:rFonts w:ascii="Arial" w:hAnsi="Arial" w:hint="default"/>
      </w:rPr>
    </w:lvl>
    <w:lvl w:ilvl="4" w:tplc="49885CE2" w:tentative="1">
      <w:start w:val="1"/>
      <w:numFmt w:val="bullet"/>
      <w:lvlText w:val="•"/>
      <w:lvlJc w:val="left"/>
      <w:pPr>
        <w:tabs>
          <w:tab w:val="num" w:pos="3600"/>
        </w:tabs>
        <w:ind w:left="3600" w:hanging="360"/>
      </w:pPr>
      <w:rPr>
        <w:rFonts w:ascii="Arial" w:hAnsi="Arial" w:hint="default"/>
      </w:rPr>
    </w:lvl>
    <w:lvl w:ilvl="5" w:tplc="C184801A" w:tentative="1">
      <w:start w:val="1"/>
      <w:numFmt w:val="bullet"/>
      <w:lvlText w:val="•"/>
      <w:lvlJc w:val="left"/>
      <w:pPr>
        <w:tabs>
          <w:tab w:val="num" w:pos="4320"/>
        </w:tabs>
        <w:ind w:left="4320" w:hanging="360"/>
      </w:pPr>
      <w:rPr>
        <w:rFonts w:ascii="Arial" w:hAnsi="Arial" w:hint="default"/>
      </w:rPr>
    </w:lvl>
    <w:lvl w:ilvl="6" w:tplc="C35AC89E" w:tentative="1">
      <w:start w:val="1"/>
      <w:numFmt w:val="bullet"/>
      <w:lvlText w:val="•"/>
      <w:lvlJc w:val="left"/>
      <w:pPr>
        <w:tabs>
          <w:tab w:val="num" w:pos="5040"/>
        </w:tabs>
        <w:ind w:left="5040" w:hanging="360"/>
      </w:pPr>
      <w:rPr>
        <w:rFonts w:ascii="Arial" w:hAnsi="Arial" w:hint="default"/>
      </w:rPr>
    </w:lvl>
    <w:lvl w:ilvl="7" w:tplc="FED6E734" w:tentative="1">
      <w:start w:val="1"/>
      <w:numFmt w:val="bullet"/>
      <w:lvlText w:val="•"/>
      <w:lvlJc w:val="left"/>
      <w:pPr>
        <w:tabs>
          <w:tab w:val="num" w:pos="5760"/>
        </w:tabs>
        <w:ind w:left="5760" w:hanging="360"/>
      </w:pPr>
      <w:rPr>
        <w:rFonts w:ascii="Arial" w:hAnsi="Arial" w:hint="default"/>
      </w:rPr>
    </w:lvl>
    <w:lvl w:ilvl="8" w:tplc="70FE5B0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9"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0"/>
  </w:num>
  <w:num w:numId="4">
    <w:abstractNumId w:val="38"/>
  </w:num>
  <w:num w:numId="5">
    <w:abstractNumId w:val="35"/>
  </w:num>
  <w:num w:numId="6">
    <w:abstractNumId w:val="8"/>
  </w:num>
  <w:num w:numId="7">
    <w:abstractNumId w:val="20"/>
  </w:num>
  <w:num w:numId="8">
    <w:abstractNumId w:val="7"/>
  </w:num>
  <w:num w:numId="9">
    <w:abstractNumId w:val="14"/>
  </w:num>
  <w:num w:numId="10">
    <w:abstractNumId w:val="32"/>
  </w:num>
  <w:num w:numId="11">
    <w:abstractNumId w:val="28"/>
  </w:num>
  <w:num w:numId="12">
    <w:abstractNumId w:val="3"/>
  </w:num>
  <w:num w:numId="13">
    <w:abstractNumId w:val="24"/>
  </w:num>
  <w:num w:numId="14">
    <w:abstractNumId w:val="2"/>
  </w:num>
  <w:num w:numId="15">
    <w:abstractNumId w:val="39"/>
  </w:num>
  <w:num w:numId="16">
    <w:abstractNumId w:val="26"/>
  </w:num>
  <w:num w:numId="17">
    <w:abstractNumId w:val="13"/>
  </w:num>
  <w:num w:numId="18">
    <w:abstractNumId w:val="41"/>
  </w:num>
  <w:num w:numId="19">
    <w:abstractNumId w:val="43"/>
  </w:num>
  <w:num w:numId="20">
    <w:abstractNumId w:val="4"/>
  </w:num>
  <w:num w:numId="21">
    <w:abstractNumId w:val="36"/>
  </w:num>
  <w:num w:numId="22">
    <w:abstractNumId w:val="6"/>
  </w:num>
  <w:num w:numId="23">
    <w:abstractNumId w:val="11"/>
  </w:num>
  <w:num w:numId="24">
    <w:abstractNumId w:val="10"/>
  </w:num>
  <w:num w:numId="25">
    <w:abstractNumId w:val="46"/>
  </w:num>
  <w:num w:numId="26">
    <w:abstractNumId w:val="42"/>
  </w:num>
  <w:num w:numId="27">
    <w:abstractNumId w:val="15"/>
  </w:num>
  <w:num w:numId="28">
    <w:abstractNumId w:val="30"/>
  </w:num>
  <w:num w:numId="29">
    <w:abstractNumId w:val="31"/>
  </w:num>
  <w:num w:numId="30">
    <w:abstractNumId w:val="12"/>
  </w:num>
  <w:num w:numId="31">
    <w:abstractNumId w:val="44"/>
  </w:num>
  <w:num w:numId="32">
    <w:abstractNumId w:val="37"/>
  </w:num>
  <w:num w:numId="33">
    <w:abstractNumId w:val="9"/>
  </w:num>
  <w:num w:numId="34">
    <w:abstractNumId w:val="17"/>
  </w:num>
  <w:num w:numId="35">
    <w:abstractNumId w:val="22"/>
  </w:num>
  <w:num w:numId="36">
    <w:abstractNumId w:val="40"/>
  </w:num>
  <w:num w:numId="37">
    <w:abstractNumId w:val="27"/>
  </w:num>
  <w:num w:numId="38">
    <w:abstractNumId w:val="16"/>
  </w:num>
  <w:num w:numId="39">
    <w:abstractNumId w:val="48"/>
  </w:num>
  <w:num w:numId="40">
    <w:abstractNumId w:val="33"/>
  </w:num>
  <w:num w:numId="41">
    <w:abstractNumId w:val="45"/>
  </w:num>
  <w:num w:numId="42">
    <w:abstractNumId w:val="19"/>
  </w:num>
  <w:num w:numId="43">
    <w:abstractNumId w:val="49"/>
  </w:num>
  <w:num w:numId="44">
    <w:abstractNumId w:val="29"/>
  </w:num>
  <w:num w:numId="45">
    <w:abstractNumId w:val="1"/>
  </w:num>
  <w:num w:numId="46">
    <w:abstractNumId w:val="18"/>
  </w:num>
  <w:num w:numId="47">
    <w:abstractNumId w:val="23"/>
  </w:num>
  <w:num w:numId="48">
    <w:abstractNumId w:val="21"/>
  </w:num>
  <w:num w:numId="49">
    <w:abstractNumId w:val="2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QUAa1zCYiwAAAA="/>
  </w:docVars>
  <w:rsids>
    <w:rsidRoot w:val="009D5120"/>
    <w:rsid w:val="00006D6E"/>
    <w:rsid w:val="0001390D"/>
    <w:rsid w:val="000246E1"/>
    <w:rsid w:val="00034D2A"/>
    <w:rsid w:val="00035E0A"/>
    <w:rsid w:val="00041170"/>
    <w:rsid w:val="00053C05"/>
    <w:rsid w:val="00054266"/>
    <w:rsid w:val="00080613"/>
    <w:rsid w:val="00083E05"/>
    <w:rsid w:val="000A1CE7"/>
    <w:rsid w:val="000A301A"/>
    <w:rsid w:val="000C164C"/>
    <w:rsid w:val="000C2C16"/>
    <w:rsid w:val="000D71C2"/>
    <w:rsid w:val="0010214C"/>
    <w:rsid w:val="00110459"/>
    <w:rsid w:val="00125C43"/>
    <w:rsid w:val="00155BBB"/>
    <w:rsid w:val="001609E9"/>
    <w:rsid w:val="0016336F"/>
    <w:rsid w:val="0017028B"/>
    <w:rsid w:val="001711FC"/>
    <w:rsid w:val="001816F3"/>
    <w:rsid w:val="00184084"/>
    <w:rsid w:val="001A6CCB"/>
    <w:rsid w:val="001B14A3"/>
    <w:rsid w:val="001B19E7"/>
    <w:rsid w:val="001B64E4"/>
    <w:rsid w:val="001F775B"/>
    <w:rsid w:val="00204CAF"/>
    <w:rsid w:val="0022593A"/>
    <w:rsid w:val="00244484"/>
    <w:rsid w:val="00253D49"/>
    <w:rsid w:val="00253DB4"/>
    <w:rsid w:val="00257849"/>
    <w:rsid w:val="0026090B"/>
    <w:rsid w:val="00261010"/>
    <w:rsid w:val="00262F79"/>
    <w:rsid w:val="00263183"/>
    <w:rsid w:val="00263D5E"/>
    <w:rsid w:val="00264317"/>
    <w:rsid w:val="0026726D"/>
    <w:rsid w:val="00267CB0"/>
    <w:rsid w:val="002743E8"/>
    <w:rsid w:val="002A4836"/>
    <w:rsid w:val="002A53FD"/>
    <w:rsid w:val="002B01A4"/>
    <w:rsid w:val="002C06AF"/>
    <w:rsid w:val="002C2992"/>
    <w:rsid w:val="002D07FA"/>
    <w:rsid w:val="002E4B0A"/>
    <w:rsid w:val="002F56E0"/>
    <w:rsid w:val="002F7122"/>
    <w:rsid w:val="00301F50"/>
    <w:rsid w:val="00303E56"/>
    <w:rsid w:val="00310027"/>
    <w:rsid w:val="00312BDA"/>
    <w:rsid w:val="0032094E"/>
    <w:rsid w:val="00324CB4"/>
    <w:rsid w:val="00335F50"/>
    <w:rsid w:val="00337155"/>
    <w:rsid w:val="00347AD6"/>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564DF"/>
    <w:rsid w:val="00474479"/>
    <w:rsid w:val="00487A8C"/>
    <w:rsid w:val="004A01B0"/>
    <w:rsid w:val="004A3879"/>
    <w:rsid w:val="004A526C"/>
    <w:rsid w:val="004C2590"/>
    <w:rsid w:val="004C5439"/>
    <w:rsid w:val="004D5FDC"/>
    <w:rsid w:val="004E328A"/>
    <w:rsid w:val="004F1E97"/>
    <w:rsid w:val="004F4FD1"/>
    <w:rsid w:val="00506A2A"/>
    <w:rsid w:val="0051539E"/>
    <w:rsid w:val="005223D1"/>
    <w:rsid w:val="0052701A"/>
    <w:rsid w:val="00534AE1"/>
    <w:rsid w:val="005442A5"/>
    <w:rsid w:val="00545592"/>
    <w:rsid w:val="00546EEE"/>
    <w:rsid w:val="0055686A"/>
    <w:rsid w:val="00562D16"/>
    <w:rsid w:val="0056734E"/>
    <w:rsid w:val="0057279E"/>
    <w:rsid w:val="00590C6C"/>
    <w:rsid w:val="005B5828"/>
    <w:rsid w:val="005C189D"/>
    <w:rsid w:val="005C3066"/>
    <w:rsid w:val="005D2DFB"/>
    <w:rsid w:val="005F35C3"/>
    <w:rsid w:val="005F7EB4"/>
    <w:rsid w:val="0061167B"/>
    <w:rsid w:val="006635A5"/>
    <w:rsid w:val="00671B15"/>
    <w:rsid w:val="006775F8"/>
    <w:rsid w:val="00694DCA"/>
    <w:rsid w:val="00695B69"/>
    <w:rsid w:val="00697E5E"/>
    <w:rsid w:val="006A133F"/>
    <w:rsid w:val="006A2A74"/>
    <w:rsid w:val="006C17DF"/>
    <w:rsid w:val="006D4F04"/>
    <w:rsid w:val="006D7A76"/>
    <w:rsid w:val="006E4A38"/>
    <w:rsid w:val="006E7138"/>
    <w:rsid w:val="006F2698"/>
    <w:rsid w:val="00705287"/>
    <w:rsid w:val="00722736"/>
    <w:rsid w:val="00722FB5"/>
    <w:rsid w:val="00733F52"/>
    <w:rsid w:val="00741903"/>
    <w:rsid w:val="00743DC6"/>
    <w:rsid w:val="00745F66"/>
    <w:rsid w:val="00747A37"/>
    <w:rsid w:val="00766D78"/>
    <w:rsid w:val="00791A55"/>
    <w:rsid w:val="007C239B"/>
    <w:rsid w:val="007C56E1"/>
    <w:rsid w:val="007C6DB4"/>
    <w:rsid w:val="007E518C"/>
    <w:rsid w:val="00805F94"/>
    <w:rsid w:val="00807B04"/>
    <w:rsid w:val="0082138A"/>
    <w:rsid w:val="00825BCF"/>
    <w:rsid w:val="00835483"/>
    <w:rsid w:val="0083607D"/>
    <w:rsid w:val="00836566"/>
    <w:rsid w:val="00846AF0"/>
    <w:rsid w:val="008677DD"/>
    <w:rsid w:val="00874B40"/>
    <w:rsid w:val="00880D2C"/>
    <w:rsid w:val="00890975"/>
    <w:rsid w:val="00892E5E"/>
    <w:rsid w:val="00895907"/>
    <w:rsid w:val="008A3819"/>
    <w:rsid w:val="008A4C22"/>
    <w:rsid w:val="008B0204"/>
    <w:rsid w:val="008B371C"/>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D5120"/>
    <w:rsid w:val="009D603F"/>
    <w:rsid w:val="009D76EA"/>
    <w:rsid w:val="009E29D7"/>
    <w:rsid w:val="009E3547"/>
    <w:rsid w:val="00A006B3"/>
    <w:rsid w:val="00A00B1C"/>
    <w:rsid w:val="00A05020"/>
    <w:rsid w:val="00A31B35"/>
    <w:rsid w:val="00A32470"/>
    <w:rsid w:val="00A41A3E"/>
    <w:rsid w:val="00A50D95"/>
    <w:rsid w:val="00A53BAE"/>
    <w:rsid w:val="00A54D17"/>
    <w:rsid w:val="00A660AB"/>
    <w:rsid w:val="00A832B2"/>
    <w:rsid w:val="00A9231A"/>
    <w:rsid w:val="00AA03F1"/>
    <w:rsid w:val="00AA50DC"/>
    <w:rsid w:val="00AC3F1E"/>
    <w:rsid w:val="00AD6030"/>
    <w:rsid w:val="00AE4520"/>
    <w:rsid w:val="00AF798B"/>
    <w:rsid w:val="00B005F7"/>
    <w:rsid w:val="00B133D1"/>
    <w:rsid w:val="00B148C4"/>
    <w:rsid w:val="00B154D5"/>
    <w:rsid w:val="00B22347"/>
    <w:rsid w:val="00B332FA"/>
    <w:rsid w:val="00B36EB8"/>
    <w:rsid w:val="00B45B1F"/>
    <w:rsid w:val="00B50089"/>
    <w:rsid w:val="00B5449A"/>
    <w:rsid w:val="00B563E2"/>
    <w:rsid w:val="00B57430"/>
    <w:rsid w:val="00B652B9"/>
    <w:rsid w:val="00B6589D"/>
    <w:rsid w:val="00B712B7"/>
    <w:rsid w:val="00B7624F"/>
    <w:rsid w:val="00B765B8"/>
    <w:rsid w:val="00B81F18"/>
    <w:rsid w:val="00BA4E44"/>
    <w:rsid w:val="00BB0BFA"/>
    <w:rsid w:val="00BB57D6"/>
    <w:rsid w:val="00BE2F3F"/>
    <w:rsid w:val="00C05998"/>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31BD"/>
    <w:rsid w:val="00CE4ADC"/>
    <w:rsid w:val="00CF2734"/>
    <w:rsid w:val="00CF5DCB"/>
    <w:rsid w:val="00D005F7"/>
    <w:rsid w:val="00D022CF"/>
    <w:rsid w:val="00D05545"/>
    <w:rsid w:val="00D10997"/>
    <w:rsid w:val="00D26B93"/>
    <w:rsid w:val="00D309FA"/>
    <w:rsid w:val="00D428F2"/>
    <w:rsid w:val="00D5168E"/>
    <w:rsid w:val="00D6244A"/>
    <w:rsid w:val="00D67F79"/>
    <w:rsid w:val="00D70DE5"/>
    <w:rsid w:val="00D73876"/>
    <w:rsid w:val="00D84F1C"/>
    <w:rsid w:val="00D84F6F"/>
    <w:rsid w:val="00D91DE8"/>
    <w:rsid w:val="00D93874"/>
    <w:rsid w:val="00DA2102"/>
    <w:rsid w:val="00DA3355"/>
    <w:rsid w:val="00DC4122"/>
    <w:rsid w:val="00DD2551"/>
    <w:rsid w:val="00DE0E97"/>
    <w:rsid w:val="00DE1031"/>
    <w:rsid w:val="00DE4201"/>
    <w:rsid w:val="00DE7A7C"/>
    <w:rsid w:val="00DF7063"/>
    <w:rsid w:val="00E0521F"/>
    <w:rsid w:val="00E11A8B"/>
    <w:rsid w:val="00E1403F"/>
    <w:rsid w:val="00E15B5F"/>
    <w:rsid w:val="00E17577"/>
    <w:rsid w:val="00E370CC"/>
    <w:rsid w:val="00E47A0C"/>
    <w:rsid w:val="00E50B29"/>
    <w:rsid w:val="00E51EF7"/>
    <w:rsid w:val="00E51F0F"/>
    <w:rsid w:val="00E600B6"/>
    <w:rsid w:val="00E77AE6"/>
    <w:rsid w:val="00E8250D"/>
    <w:rsid w:val="00EB2984"/>
    <w:rsid w:val="00EB62B1"/>
    <w:rsid w:val="00EC1ADA"/>
    <w:rsid w:val="00EC64F3"/>
    <w:rsid w:val="00EE4814"/>
    <w:rsid w:val="00F044B5"/>
    <w:rsid w:val="00F11788"/>
    <w:rsid w:val="00F1253D"/>
    <w:rsid w:val="00F12A14"/>
    <w:rsid w:val="00F24447"/>
    <w:rsid w:val="00F33E24"/>
    <w:rsid w:val="00F35D32"/>
    <w:rsid w:val="00F419C1"/>
    <w:rsid w:val="00F71F5A"/>
    <w:rsid w:val="00F77CAF"/>
    <w:rsid w:val="00F86E18"/>
    <w:rsid w:val="00F944BB"/>
    <w:rsid w:val="00F95900"/>
    <w:rsid w:val="00FA2A90"/>
    <w:rsid w:val="00FB0632"/>
    <w:rsid w:val="00FB3179"/>
    <w:rsid w:val="00FC6EAA"/>
    <w:rsid w:val="00FF1EFA"/>
    <w:rsid w:val="00FF3DE2"/>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CDF06"/>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 w:type="character" w:customStyle="1" w:styleId="UnresolvedMention3">
    <w:name w:val="Unresolved Mention3"/>
    <w:basedOn w:val="DefaultParagraphFont"/>
    <w:uiPriority w:val="99"/>
    <w:semiHidden/>
    <w:unhideWhenUsed/>
    <w:rsid w:val="00BA4E44"/>
    <w:rPr>
      <w:color w:val="605E5C"/>
      <w:shd w:val="clear" w:color="auto" w:fill="E1DFDD"/>
    </w:rPr>
  </w:style>
  <w:style w:type="character" w:customStyle="1" w:styleId="actiontext">
    <w:name w:val="actiontext"/>
    <w:basedOn w:val="DefaultParagraphFont"/>
    <w:rsid w:val="00BA4E44"/>
  </w:style>
  <w:style w:type="character" w:customStyle="1" w:styleId="UnresolvedMention4">
    <w:name w:val="Unresolved Mention4"/>
    <w:basedOn w:val="DefaultParagraphFont"/>
    <w:uiPriority w:val="99"/>
    <w:semiHidden/>
    <w:unhideWhenUsed/>
    <w:rsid w:val="00663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514">
      <w:bodyDiv w:val="1"/>
      <w:marLeft w:val="0"/>
      <w:marRight w:val="0"/>
      <w:marTop w:val="0"/>
      <w:marBottom w:val="0"/>
      <w:divBdr>
        <w:top w:val="none" w:sz="0" w:space="0" w:color="auto"/>
        <w:left w:val="none" w:sz="0" w:space="0" w:color="auto"/>
        <w:bottom w:val="none" w:sz="0" w:space="0" w:color="auto"/>
        <w:right w:val="none" w:sz="0" w:space="0" w:color="auto"/>
      </w:divBdr>
      <w:divsChild>
        <w:div w:id="2129007374">
          <w:marLeft w:val="547"/>
          <w:marRight w:val="0"/>
          <w:marTop w:val="154"/>
          <w:marBottom w:val="0"/>
          <w:divBdr>
            <w:top w:val="none" w:sz="0" w:space="0" w:color="auto"/>
            <w:left w:val="none" w:sz="0" w:space="0" w:color="auto"/>
            <w:bottom w:val="none" w:sz="0" w:space="0" w:color="auto"/>
            <w:right w:val="none" w:sz="0" w:space="0" w:color="auto"/>
          </w:divBdr>
        </w:div>
      </w:divsChild>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7637578">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90&amp;ba=sf94" TargetMode="External"/><Relationship Id="rId13" Type="http://schemas.openxmlformats.org/officeDocument/2006/relationships/hyperlink" Target="https://www.legis.iowa.gov/legislators/senat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iowa.gov/legislation/BillBook?ba=HF%2068&amp;ga=90" TargetMode="External"/><Relationship Id="rId12" Type="http://schemas.openxmlformats.org/officeDocument/2006/relationships/hyperlink" Target="https://www.legis.iowa.gov/legislators/hous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en-ia.org/system/files/Public/2023-Reports/UEN%20Weekly%20Report%202022.01.13.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s.iowa.gov/legislation/BillBook?ba=HR%203&amp;ga=9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en-ia.org/system/files/Public/IssueBriefs/UEN%20Issue%20Brief%20School%20Choice%202023.doc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2023-01-20T01:11:00Z</dcterms:created>
  <dcterms:modified xsi:type="dcterms:W3CDTF">2023-01-20T01:14:00Z</dcterms:modified>
</cp:coreProperties>
</file>