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A8E" w:rsidRDefault="008E5A8E" w:rsidP="00604E85">
      <w:pPr>
        <w:spacing w:before="240" w:after="0" w:line="240" w:lineRule="auto"/>
        <w:jc w:val="center"/>
        <w:rPr>
          <w:rFonts w:eastAsia="Arial"/>
          <w:b/>
          <w:sz w:val="36"/>
        </w:rPr>
      </w:pPr>
    </w:p>
    <w:p w:rsidR="00604E85" w:rsidRPr="002D6500" w:rsidRDefault="000630D9" w:rsidP="0096136A">
      <w:pPr>
        <w:spacing w:before="240" w:after="0" w:line="240" w:lineRule="auto"/>
        <w:ind w:left="720"/>
        <w:jc w:val="center"/>
        <w:rPr>
          <w:b/>
          <w:i/>
          <w:sz w:val="36"/>
          <w:szCs w:val="36"/>
        </w:rPr>
      </w:pPr>
      <w:r>
        <w:rPr>
          <w:rFonts w:eastAsia="Arial"/>
          <w:b/>
          <w:sz w:val="36"/>
        </w:rPr>
        <w:t>UEN</w:t>
      </w:r>
      <w:r w:rsidR="002D6500">
        <w:rPr>
          <w:rFonts w:eastAsia="Arial"/>
          <w:b/>
          <w:sz w:val="36"/>
        </w:rPr>
        <w:t xml:space="preserve"> 202</w:t>
      </w:r>
      <w:r w:rsidR="00DE7C3C">
        <w:rPr>
          <w:rFonts w:eastAsia="Arial"/>
          <w:b/>
          <w:sz w:val="36"/>
        </w:rPr>
        <w:t>3</w:t>
      </w:r>
      <w:r w:rsidR="002D6500">
        <w:rPr>
          <w:rFonts w:eastAsia="Arial"/>
          <w:b/>
          <w:sz w:val="36"/>
        </w:rPr>
        <w:t xml:space="preserve"> Priority</w:t>
      </w:r>
      <w:r w:rsidR="0096136A">
        <w:rPr>
          <w:rFonts w:eastAsia="Arial"/>
          <w:b/>
          <w:sz w:val="36"/>
        </w:rPr>
        <w:t xml:space="preserve"> Issue Brief</w:t>
      </w:r>
      <w:r w:rsidR="002D6500">
        <w:rPr>
          <w:rFonts w:eastAsia="Arial"/>
          <w:b/>
          <w:sz w:val="36"/>
        </w:rPr>
        <w:br/>
      </w:r>
      <w:r w:rsidR="007C5484">
        <w:rPr>
          <w:b/>
          <w:sz w:val="36"/>
          <w:szCs w:val="36"/>
        </w:rPr>
        <w:t xml:space="preserve">Adequate Education </w:t>
      </w:r>
      <w:r w:rsidR="00E81129">
        <w:rPr>
          <w:b/>
          <w:sz w:val="36"/>
          <w:szCs w:val="36"/>
        </w:rPr>
        <w:t>Resources</w:t>
      </w:r>
    </w:p>
    <w:p w:rsidR="0084778B" w:rsidRPr="002D6500" w:rsidRDefault="00DE7C3C" w:rsidP="00B34AC8">
      <w:pPr>
        <w:spacing w:before="240" w:line="240" w:lineRule="auto"/>
        <w:rPr>
          <w:rFonts w:cstheme="minorHAnsi"/>
          <w:sz w:val="24"/>
          <w:szCs w:val="24"/>
        </w:rPr>
      </w:pPr>
      <w:r>
        <w:rPr>
          <w:noProof/>
        </w:rPr>
        <w:drawing>
          <wp:anchor distT="0" distB="0" distL="114300" distR="114300" simplePos="0" relativeHeight="251672576" behindDoc="1" locked="0" layoutInCell="1" allowOverlap="1" wp14:anchorId="5656D0AA" wp14:editId="5B8FEC23">
            <wp:simplePos x="0" y="0"/>
            <wp:positionH relativeFrom="margin">
              <wp:posOffset>1661160</wp:posOffset>
            </wp:positionH>
            <wp:positionV relativeFrom="paragraph">
              <wp:posOffset>171450</wp:posOffset>
            </wp:positionV>
            <wp:extent cx="4789170" cy="2975610"/>
            <wp:effectExtent l="0" t="0" r="11430" b="15240"/>
            <wp:wrapTight wrapText="bothSides">
              <wp:wrapPolygon edited="0">
                <wp:start x="0" y="0"/>
                <wp:lineTo x="0" y="21572"/>
                <wp:lineTo x="21566" y="21572"/>
                <wp:lineTo x="21566" y="0"/>
                <wp:lineTo x="0" y="0"/>
              </wp:wrapPolygon>
            </wp:wrapTight>
            <wp:docPr id="1" name="Chart 1">
              <a:extLst xmlns:a="http://schemas.openxmlformats.org/drawingml/2006/main">
                <a:ext uri="{FF2B5EF4-FFF2-40B4-BE49-F238E27FC236}">
                  <a16:creationId xmlns:a16="http://schemas.microsoft.com/office/drawing/2014/main" id="{F994553F-B11A-425E-A76C-B8A9EBAC7E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2D6500">
        <w:rPr>
          <w:rFonts w:cstheme="minorHAnsi"/>
          <w:b/>
          <w:sz w:val="24"/>
          <w:szCs w:val="24"/>
        </w:rPr>
        <w:t>History</w:t>
      </w:r>
      <w:r w:rsidR="002D6500" w:rsidRPr="002D6500">
        <w:rPr>
          <w:rFonts w:cstheme="minorHAnsi"/>
          <w:b/>
          <w:sz w:val="24"/>
          <w:szCs w:val="24"/>
        </w:rPr>
        <w:t>:</w:t>
      </w:r>
      <w:r w:rsidR="002D6500">
        <w:rPr>
          <w:rFonts w:cstheme="minorHAnsi"/>
          <w:sz w:val="24"/>
          <w:szCs w:val="24"/>
        </w:rPr>
        <w:t xml:space="preserve"> </w:t>
      </w:r>
      <w:r w:rsidR="000C4290">
        <w:rPr>
          <w:rFonts w:cstheme="minorHAnsi"/>
          <w:sz w:val="24"/>
          <w:szCs w:val="24"/>
        </w:rPr>
        <w:t>This chart</w:t>
      </w:r>
      <w:r w:rsidR="0084778B" w:rsidRPr="002D6500">
        <w:rPr>
          <w:rFonts w:cstheme="minorHAnsi"/>
          <w:sz w:val="24"/>
          <w:szCs w:val="24"/>
        </w:rPr>
        <w:t xml:space="preserve"> shows the historical percentage increase in Iowa’s state cost per pupil, </w:t>
      </w:r>
      <w:r w:rsidR="000C4290">
        <w:rPr>
          <w:rFonts w:cstheme="minorHAnsi"/>
          <w:sz w:val="24"/>
          <w:szCs w:val="24"/>
        </w:rPr>
        <w:t>called</w:t>
      </w:r>
      <w:r w:rsidR="0084778B" w:rsidRPr="002D6500">
        <w:rPr>
          <w:rFonts w:cstheme="minorHAnsi"/>
          <w:sz w:val="24"/>
          <w:szCs w:val="24"/>
        </w:rPr>
        <w:t xml:space="preserve"> State Supplemental Assistance</w:t>
      </w:r>
      <w:r w:rsidR="000C4290">
        <w:rPr>
          <w:rFonts w:cstheme="minorHAnsi"/>
          <w:sz w:val="24"/>
          <w:szCs w:val="24"/>
        </w:rPr>
        <w:t xml:space="preserve"> or SSA</w:t>
      </w:r>
      <w:r w:rsidR="0084778B" w:rsidRPr="002D6500">
        <w:rPr>
          <w:rFonts w:cstheme="minorHAnsi"/>
          <w:sz w:val="24"/>
          <w:szCs w:val="24"/>
        </w:rPr>
        <w:t>, since the funding formula began in 1972-73:</w:t>
      </w:r>
    </w:p>
    <w:p w:rsidR="0084778B" w:rsidRPr="002D6500" w:rsidRDefault="00DE7C3C" w:rsidP="0084778B">
      <w:pPr>
        <w:spacing w:line="240" w:lineRule="auto"/>
        <w:rPr>
          <w:rFonts w:cstheme="minorHAnsi"/>
          <w:sz w:val="24"/>
          <w:szCs w:val="24"/>
        </w:rPr>
      </w:pPr>
      <w:r w:rsidRPr="002D6500">
        <w:rPr>
          <w:rFonts w:cstheme="minorHAnsi"/>
          <w:b/>
          <w:sz w:val="24"/>
          <w:szCs w:val="24"/>
        </w:rPr>
        <w:t>Current reality:</w:t>
      </w:r>
      <w:r w:rsidRPr="002D6500">
        <w:rPr>
          <w:rFonts w:cstheme="minorHAnsi"/>
          <w:sz w:val="24"/>
          <w:szCs w:val="24"/>
        </w:rPr>
        <w:t xml:space="preserve"> Annual </w:t>
      </w:r>
      <w:r>
        <w:rPr>
          <w:rFonts w:cstheme="minorHAnsi"/>
          <w:sz w:val="24"/>
          <w:szCs w:val="24"/>
        </w:rPr>
        <w:t>formula</w:t>
      </w:r>
      <w:r w:rsidRPr="002D6500">
        <w:rPr>
          <w:rFonts w:cstheme="minorHAnsi"/>
          <w:sz w:val="24"/>
          <w:szCs w:val="24"/>
        </w:rPr>
        <w:t xml:space="preserve"> increases have not been enough to pay salaries </w:t>
      </w:r>
      <w:r>
        <w:rPr>
          <w:rFonts w:cstheme="minorHAnsi"/>
          <w:sz w:val="24"/>
          <w:szCs w:val="24"/>
        </w:rPr>
        <w:t xml:space="preserve">and benefits </w:t>
      </w:r>
      <w:r w:rsidRPr="002D6500">
        <w:rPr>
          <w:rFonts w:cstheme="minorHAnsi"/>
          <w:sz w:val="24"/>
          <w:szCs w:val="24"/>
        </w:rPr>
        <w:t>to compete with the private sector,</w:t>
      </w:r>
      <w:r>
        <w:rPr>
          <w:rFonts w:cstheme="minorHAnsi"/>
          <w:sz w:val="24"/>
          <w:szCs w:val="24"/>
        </w:rPr>
        <w:t xml:space="preserve"> plus</w:t>
      </w:r>
      <w:r w:rsidRPr="002D6500">
        <w:rPr>
          <w:rFonts w:cstheme="minorHAnsi"/>
          <w:sz w:val="24"/>
          <w:szCs w:val="24"/>
        </w:rPr>
        <w:t xml:space="preserve"> other costs of operating schools and meeting student needs. </w:t>
      </w:r>
      <w:r>
        <w:rPr>
          <w:rFonts w:cstheme="minorHAnsi"/>
          <w:sz w:val="24"/>
          <w:szCs w:val="24"/>
        </w:rPr>
        <w:t>Few or no applicants at all</w:t>
      </w:r>
      <w:r w:rsidR="00007C8F">
        <w:rPr>
          <w:rFonts w:cstheme="minorHAnsi"/>
          <w:sz w:val="24"/>
          <w:szCs w:val="24"/>
        </w:rPr>
        <w:t xml:space="preserve">, even in urban </w:t>
      </w:r>
      <w:proofErr w:type="spellStart"/>
      <w:proofErr w:type="gramStart"/>
      <w:r w:rsidR="00007C8F">
        <w:rPr>
          <w:rFonts w:cstheme="minorHAnsi"/>
          <w:sz w:val="24"/>
          <w:szCs w:val="24"/>
        </w:rPr>
        <w:t>areas,</w:t>
      </w:r>
      <w:r>
        <w:rPr>
          <w:rFonts w:cstheme="minorHAnsi"/>
          <w:sz w:val="24"/>
          <w:szCs w:val="24"/>
        </w:rPr>
        <w:t>demonstrates</w:t>
      </w:r>
      <w:proofErr w:type="spellEnd"/>
      <w:proofErr w:type="gramEnd"/>
      <w:r>
        <w:rPr>
          <w:rFonts w:cstheme="minorHAnsi"/>
          <w:sz w:val="24"/>
          <w:szCs w:val="24"/>
        </w:rPr>
        <w:t xml:space="preserve"> the inability to compete for human capital in Iowa’s thriving economy. SSA </w:t>
      </w:r>
      <w:r w:rsidRPr="002D6500">
        <w:rPr>
          <w:rFonts w:cstheme="minorHAnsi"/>
          <w:sz w:val="24"/>
          <w:szCs w:val="24"/>
        </w:rPr>
        <w:t>impacts the weightings, or multipliers, assigned to students with special education needs, English-language learner supports, college credit courses and preschool</w:t>
      </w:r>
      <w:r>
        <w:rPr>
          <w:rFonts w:cstheme="minorHAnsi"/>
          <w:sz w:val="24"/>
          <w:szCs w:val="24"/>
        </w:rPr>
        <w:t xml:space="preserve">, providing resources for student </w:t>
      </w:r>
      <w:r w:rsidR="009423BF">
        <w:rPr>
          <w:rFonts w:cstheme="minorHAnsi"/>
          <w:sz w:val="24"/>
          <w:szCs w:val="24"/>
        </w:rPr>
        <w:t>programs</w:t>
      </w:r>
      <w:r w:rsidR="0084778B" w:rsidRPr="002D6500">
        <w:rPr>
          <w:rFonts w:cstheme="minorHAnsi"/>
          <w:sz w:val="24"/>
          <w:szCs w:val="24"/>
        </w:rPr>
        <w:t>.</w:t>
      </w:r>
      <w:r w:rsidR="00160F91">
        <w:rPr>
          <w:rFonts w:cstheme="minorHAnsi"/>
          <w:sz w:val="24"/>
          <w:szCs w:val="24"/>
        </w:rPr>
        <w:t xml:space="preserve"> </w:t>
      </w:r>
    </w:p>
    <w:p w:rsidR="00DE7C3C" w:rsidRPr="002D6500" w:rsidRDefault="00DE7C3C" w:rsidP="00DE7C3C">
      <w:pPr>
        <w:spacing w:line="240" w:lineRule="auto"/>
        <w:rPr>
          <w:rFonts w:cstheme="minorHAnsi"/>
          <w:sz w:val="24"/>
          <w:szCs w:val="24"/>
        </w:rPr>
      </w:pPr>
      <w:r w:rsidRPr="002D6500">
        <w:rPr>
          <w:rFonts w:cstheme="minorHAnsi"/>
          <w:sz w:val="24"/>
          <w:szCs w:val="24"/>
        </w:rPr>
        <w:t>The SSA funding percentage is also applied to Teacher Salary, Professional Development, Teacher Leadership and Compensation (TLC) and the new Transportation Supplements. Although the transportation funds are for any general fund purpose (considered as reimbursement), other categorical funds are regulated for specific purposes. AEA special education and school improvement are also dependent on adequate increases in the per</w:t>
      </w:r>
      <w:r>
        <w:rPr>
          <w:rFonts w:cstheme="minorHAnsi"/>
          <w:sz w:val="24"/>
          <w:szCs w:val="24"/>
        </w:rPr>
        <w:t xml:space="preserve"> </w:t>
      </w:r>
      <w:r w:rsidRPr="002D6500">
        <w:rPr>
          <w:rFonts w:cstheme="minorHAnsi"/>
          <w:sz w:val="24"/>
          <w:szCs w:val="24"/>
        </w:rPr>
        <w:t>pupil amount</w:t>
      </w:r>
      <w:r>
        <w:rPr>
          <w:rFonts w:cstheme="minorHAnsi"/>
          <w:sz w:val="24"/>
          <w:szCs w:val="24"/>
        </w:rPr>
        <w:t>. State and Federal u</w:t>
      </w:r>
      <w:r w:rsidRPr="002D6500">
        <w:rPr>
          <w:rFonts w:cstheme="minorHAnsi"/>
          <w:sz w:val="24"/>
          <w:szCs w:val="24"/>
        </w:rPr>
        <w:t>nfunded mandates are paid from this funding</w:t>
      </w:r>
      <w:r>
        <w:rPr>
          <w:rFonts w:cstheme="minorHAnsi"/>
          <w:sz w:val="24"/>
          <w:szCs w:val="24"/>
        </w:rPr>
        <w:t xml:space="preserve">. </w:t>
      </w:r>
      <w:r w:rsidRPr="002D6500">
        <w:rPr>
          <w:rFonts w:cstheme="minorHAnsi"/>
          <w:sz w:val="24"/>
          <w:szCs w:val="24"/>
        </w:rPr>
        <w:t xml:space="preserve">When </w:t>
      </w:r>
      <w:r>
        <w:rPr>
          <w:rFonts w:cstheme="minorHAnsi"/>
          <w:sz w:val="24"/>
          <w:szCs w:val="24"/>
        </w:rPr>
        <w:t>school</w:t>
      </w:r>
      <w:r w:rsidRPr="002D6500">
        <w:rPr>
          <w:rFonts w:cstheme="minorHAnsi"/>
          <w:sz w:val="24"/>
          <w:szCs w:val="24"/>
        </w:rPr>
        <w:t xml:space="preserve"> costs increase more than funding, program and staff reductions follow. Declining enrollment requires even further reduction.</w:t>
      </w:r>
      <w:r>
        <w:rPr>
          <w:rFonts w:cstheme="minorHAnsi"/>
          <w:sz w:val="24"/>
          <w:szCs w:val="24"/>
        </w:rPr>
        <w:t xml:space="preserve"> Growing enrollment demands additional staff and supports, both compromised by low SSA. </w:t>
      </w:r>
    </w:p>
    <w:p w:rsidR="007C5484" w:rsidRPr="000630D9" w:rsidRDefault="00DE7C3C" w:rsidP="00DE7C3C">
      <w:pPr>
        <w:spacing w:line="240" w:lineRule="auto"/>
        <w:rPr>
          <w:rFonts w:cstheme="minorHAnsi"/>
          <w:sz w:val="24"/>
          <w:szCs w:val="24"/>
        </w:rPr>
        <w:sectPr w:rsidR="007C5484" w:rsidRPr="000630D9" w:rsidSect="00DE7C3C">
          <w:headerReference w:type="default" r:id="rId9"/>
          <w:footerReference w:type="default" r:id="rId10"/>
          <w:headerReference w:type="first" r:id="rId11"/>
          <w:footerReference w:type="first" r:id="rId12"/>
          <w:pgSz w:w="12240" w:h="15840" w:code="1"/>
          <w:pgMar w:top="1267" w:right="1080" w:bottom="720" w:left="1080" w:header="720" w:footer="504" w:gutter="0"/>
          <w:cols w:space="720"/>
          <w:titlePg/>
          <w:docGrid w:linePitch="360"/>
        </w:sectPr>
      </w:pPr>
      <w:r>
        <w:rPr>
          <w:rFonts w:cstheme="minorHAnsi"/>
          <w:b/>
          <w:sz w:val="24"/>
          <w:szCs w:val="24"/>
        </w:rPr>
        <w:t>Staff Shortages</w:t>
      </w:r>
      <w:r w:rsidRPr="002D6500">
        <w:rPr>
          <w:rFonts w:cstheme="minorHAnsi"/>
          <w:b/>
          <w:sz w:val="24"/>
          <w:szCs w:val="24"/>
        </w:rPr>
        <w:t>:</w:t>
      </w:r>
      <w:r w:rsidRPr="002D6500">
        <w:rPr>
          <w:rFonts w:cstheme="minorHAnsi"/>
          <w:sz w:val="24"/>
          <w:szCs w:val="24"/>
        </w:rPr>
        <w:t xml:space="preserve"> </w:t>
      </w:r>
      <w:r>
        <w:rPr>
          <w:rFonts w:cstheme="minorHAnsi"/>
          <w:sz w:val="24"/>
          <w:szCs w:val="24"/>
        </w:rPr>
        <w:t>Schools are still striving to</w:t>
      </w:r>
      <w:r w:rsidRPr="002D6500">
        <w:rPr>
          <w:rFonts w:cstheme="minorHAnsi"/>
          <w:sz w:val="24"/>
          <w:szCs w:val="24"/>
        </w:rPr>
        <w:t xml:space="preserve"> replace retirees or hire long</w:t>
      </w:r>
      <w:r>
        <w:rPr>
          <w:rFonts w:cstheme="minorHAnsi"/>
          <w:sz w:val="24"/>
          <w:szCs w:val="24"/>
        </w:rPr>
        <w:t>-</w:t>
      </w:r>
      <w:r w:rsidRPr="002D6500">
        <w:rPr>
          <w:rFonts w:cstheme="minorHAnsi"/>
          <w:sz w:val="24"/>
          <w:szCs w:val="24"/>
        </w:rPr>
        <w:t xml:space="preserve">term substitutes when staff </w:t>
      </w:r>
      <w:r>
        <w:rPr>
          <w:rFonts w:cstheme="minorHAnsi"/>
          <w:sz w:val="24"/>
          <w:szCs w:val="24"/>
        </w:rPr>
        <w:t xml:space="preserve">are ill or have not returned to teaching since the pandemic. Schools not benefitting much from federal pandemic funds based on the Title I formula still have additional costs and labor shortages. Districts with high poverty have additional educational needs. </w:t>
      </w:r>
      <w:r w:rsidRPr="002D6500">
        <w:rPr>
          <w:rFonts w:cstheme="minorHAnsi"/>
          <w:sz w:val="24"/>
          <w:szCs w:val="24"/>
        </w:rPr>
        <w:t xml:space="preserve">Without adequate funds, </w:t>
      </w:r>
      <w:r>
        <w:rPr>
          <w:rFonts w:cstheme="minorHAnsi"/>
          <w:sz w:val="24"/>
          <w:szCs w:val="24"/>
        </w:rPr>
        <w:t xml:space="preserve">school </w:t>
      </w:r>
      <w:r w:rsidRPr="002D6500">
        <w:rPr>
          <w:rFonts w:cstheme="minorHAnsi"/>
          <w:sz w:val="24"/>
          <w:szCs w:val="24"/>
        </w:rPr>
        <w:t>districts cannot pay a competitive wage and attract quality staff to our schools</w:t>
      </w:r>
      <w:r>
        <w:rPr>
          <w:rFonts w:cstheme="minorHAnsi"/>
          <w:sz w:val="24"/>
          <w:szCs w:val="24"/>
        </w:rPr>
        <w:t xml:space="preserve">; this dynamic has intensified over the last decade. See the UEN Staff Shortage position paper for additional data regarding staff shortages. </w:t>
      </w:r>
    </w:p>
    <w:p w:rsidR="00DE7C3C" w:rsidRPr="002D6500" w:rsidRDefault="00DE7C3C" w:rsidP="00DE7C3C">
      <w:pPr>
        <w:spacing w:before="120" w:after="0" w:line="240" w:lineRule="auto"/>
        <w:rPr>
          <w:rFonts w:cstheme="minorHAnsi"/>
          <w:sz w:val="24"/>
          <w:szCs w:val="24"/>
        </w:rPr>
      </w:pPr>
      <w:r w:rsidRPr="002D6500">
        <w:rPr>
          <w:rFonts w:cstheme="minorHAnsi"/>
          <w:b/>
          <w:sz w:val="24"/>
          <w:szCs w:val="24"/>
        </w:rPr>
        <w:lastRenderedPageBreak/>
        <w:t>Benchmarks/Economic Measures for Comparison:</w:t>
      </w:r>
      <w:r>
        <w:rPr>
          <w:rFonts w:cstheme="minorHAnsi"/>
          <w:sz w:val="24"/>
          <w:szCs w:val="24"/>
        </w:rPr>
        <w:t xml:space="preserve"> </w:t>
      </w:r>
      <w:r w:rsidRPr="002D6500">
        <w:rPr>
          <w:rFonts w:cstheme="minorHAnsi"/>
          <w:sz w:val="24"/>
          <w:szCs w:val="24"/>
        </w:rPr>
        <w:t>When comparing the state cost per pupil to economic benchmarks and other states, Io</w:t>
      </w:r>
      <w:r>
        <w:rPr>
          <w:rFonts w:cstheme="minorHAnsi"/>
          <w:sz w:val="24"/>
          <w:szCs w:val="24"/>
        </w:rPr>
        <w:t xml:space="preserve">wa school funding falls short. Economic benchmarks: </w:t>
      </w:r>
    </w:p>
    <w:p w:rsidR="00DE7C3C" w:rsidRPr="007A3B60" w:rsidRDefault="00DE7C3C" w:rsidP="00DE7C3C">
      <w:pPr>
        <w:pStyle w:val="ListParagraph"/>
        <w:numPr>
          <w:ilvl w:val="0"/>
          <w:numId w:val="7"/>
        </w:numPr>
        <w:spacing w:before="120" w:after="0" w:line="240" w:lineRule="auto"/>
        <w:rPr>
          <w:rFonts w:cstheme="minorHAnsi"/>
          <w:sz w:val="24"/>
          <w:szCs w:val="24"/>
        </w:rPr>
      </w:pPr>
      <w:r w:rsidRPr="00722620">
        <w:rPr>
          <w:rFonts w:cstheme="minorHAnsi"/>
          <w:sz w:val="24"/>
          <w:szCs w:val="24"/>
        </w:rPr>
        <w:t>The Gross Domestic Product (GDP) for Iowa grew 30.5%</w:t>
      </w:r>
      <w:r>
        <w:rPr>
          <w:rFonts w:cstheme="minorHAnsi"/>
          <w:sz w:val="24"/>
          <w:szCs w:val="24"/>
        </w:rPr>
        <w:t>,</w:t>
      </w:r>
      <w:r w:rsidRPr="00722620">
        <w:rPr>
          <w:rFonts w:cstheme="minorHAnsi"/>
          <w:sz w:val="24"/>
          <w:szCs w:val="24"/>
        </w:rPr>
        <w:t xml:space="preserve"> controlling for inflation, 2011 to 2020, compared to the state cost per pupil</w:t>
      </w:r>
      <w:r>
        <w:rPr>
          <w:rFonts w:cstheme="minorHAnsi"/>
          <w:sz w:val="24"/>
          <w:szCs w:val="24"/>
        </w:rPr>
        <w:t>,</w:t>
      </w:r>
      <w:r w:rsidRPr="00722620">
        <w:rPr>
          <w:rFonts w:cstheme="minorHAnsi"/>
          <w:sz w:val="24"/>
          <w:szCs w:val="24"/>
        </w:rPr>
        <w:t xml:space="preserve"> which grew 16.9% </w:t>
      </w:r>
      <w:r>
        <w:rPr>
          <w:rFonts w:cstheme="minorHAnsi"/>
          <w:sz w:val="24"/>
          <w:szCs w:val="24"/>
        </w:rPr>
        <w:t xml:space="preserve">over the same </w:t>
      </w:r>
      <w:r w:rsidRPr="00722620">
        <w:rPr>
          <w:rFonts w:cstheme="minorHAnsi"/>
          <w:sz w:val="24"/>
          <w:szCs w:val="24"/>
        </w:rPr>
        <w:t>period</w:t>
      </w:r>
      <w:r>
        <w:rPr>
          <w:rFonts w:cstheme="minorHAnsi"/>
          <w:sz w:val="24"/>
          <w:szCs w:val="24"/>
        </w:rPr>
        <w:t>.</w:t>
      </w:r>
      <w:r w:rsidRPr="00722620">
        <w:rPr>
          <w:rFonts w:cstheme="minorHAnsi"/>
          <w:sz w:val="24"/>
          <w:szCs w:val="24"/>
        </w:rPr>
        <w:t xml:space="preserve"> </w:t>
      </w:r>
      <w:hyperlink r:id="rId13" w:tgtFrame="_blank" w:history="1">
        <w:r w:rsidRPr="007A3B60">
          <w:rPr>
            <w:rStyle w:val="Hyperlink"/>
            <w:rFonts w:cstheme="minorHAnsi"/>
            <w:color w:val="1155CC"/>
            <w:sz w:val="24"/>
            <w:szCs w:val="24"/>
            <w:shd w:val="clear" w:color="auto" w:fill="FFFFFF"/>
          </w:rPr>
          <w:t>https://www.bea.gov/sites/default/files/2021-09/qgdpstate1021.pdf</w:t>
        </w:r>
      </w:hyperlink>
    </w:p>
    <w:p w:rsidR="00DE7C3C" w:rsidRPr="00722620" w:rsidRDefault="00DE7C3C" w:rsidP="00DE7C3C">
      <w:pPr>
        <w:pStyle w:val="ListParagraph"/>
        <w:numPr>
          <w:ilvl w:val="0"/>
          <w:numId w:val="7"/>
        </w:numPr>
        <w:spacing w:before="120" w:after="0" w:line="240" w:lineRule="auto"/>
        <w:rPr>
          <w:rFonts w:cstheme="minorHAnsi"/>
          <w:sz w:val="24"/>
          <w:szCs w:val="24"/>
        </w:rPr>
      </w:pPr>
      <w:r w:rsidRPr="00722620">
        <w:rPr>
          <w:rFonts w:cstheme="minorHAnsi"/>
          <w:sz w:val="24"/>
          <w:szCs w:val="24"/>
        </w:rPr>
        <w:t xml:space="preserve">Expressing the state cost per pupil as a percentage of one billion GDP shows a disturbing trend. In the 1990s, the SCPP ranged between 52-44% of one billion GDP. In the 2000s, the SCPP ranged from 45-37% of one billion GDP. Since 2010, the SCPP has ranged from 37-34% of one billion GDP; the last six years show the lowest comparison in the formula’s history. </w:t>
      </w:r>
    </w:p>
    <w:p w:rsidR="00DE7C3C" w:rsidRPr="002D6500" w:rsidRDefault="00DE7C3C" w:rsidP="00DE7C3C">
      <w:pPr>
        <w:pStyle w:val="ListParagraph"/>
        <w:numPr>
          <w:ilvl w:val="0"/>
          <w:numId w:val="7"/>
        </w:numPr>
        <w:spacing w:before="120" w:after="0" w:line="240" w:lineRule="auto"/>
        <w:rPr>
          <w:rFonts w:cstheme="minorHAnsi"/>
          <w:sz w:val="24"/>
          <w:szCs w:val="24"/>
        </w:rPr>
      </w:pPr>
      <w:r w:rsidRPr="002D6500">
        <w:rPr>
          <w:rFonts w:cstheme="minorHAnsi"/>
          <w:sz w:val="24"/>
          <w:szCs w:val="24"/>
        </w:rPr>
        <w:t xml:space="preserve">Iowa Per Capita Personal Income increased </w:t>
      </w:r>
      <w:r>
        <w:rPr>
          <w:rFonts w:cstheme="minorHAnsi"/>
          <w:sz w:val="24"/>
          <w:szCs w:val="24"/>
        </w:rPr>
        <w:t>40</w:t>
      </w:r>
      <w:r w:rsidRPr="002D6500">
        <w:rPr>
          <w:rFonts w:cstheme="minorHAnsi"/>
          <w:sz w:val="24"/>
          <w:szCs w:val="24"/>
        </w:rPr>
        <w:t>%, 2010-20</w:t>
      </w:r>
      <w:r>
        <w:rPr>
          <w:rFonts w:cstheme="minorHAnsi"/>
          <w:sz w:val="24"/>
          <w:szCs w:val="24"/>
        </w:rPr>
        <w:t>20, while the state cost per pupil increased 19% over the same decade</w:t>
      </w:r>
      <w:r w:rsidR="00007C8F">
        <w:rPr>
          <w:rFonts w:cstheme="minorHAnsi"/>
          <w:sz w:val="24"/>
          <w:szCs w:val="24"/>
        </w:rPr>
        <w:t>.</w:t>
      </w:r>
      <w:r w:rsidR="00007C8F" w:rsidRPr="00007C8F">
        <w:t xml:space="preserve"> </w:t>
      </w:r>
      <w:r w:rsidR="00007C8F" w:rsidRPr="00007C8F">
        <w:rPr>
          <w:rFonts w:cstheme="minorHAnsi"/>
          <w:sz w:val="24"/>
          <w:szCs w:val="24"/>
        </w:rPr>
        <w:t>https://fred.stlouisfed.org/</w:t>
      </w:r>
    </w:p>
    <w:p w:rsidR="00DE7C3C" w:rsidRPr="002D6500" w:rsidRDefault="00DE7C3C" w:rsidP="00DE7C3C">
      <w:pPr>
        <w:spacing w:before="120" w:after="0"/>
        <w:rPr>
          <w:rFonts w:cstheme="minorHAnsi"/>
          <w:sz w:val="24"/>
          <w:szCs w:val="24"/>
        </w:rPr>
      </w:pPr>
      <w:r w:rsidRPr="002D6500">
        <w:rPr>
          <w:rFonts w:cstheme="minorHAnsi"/>
          <w:b/>
          <w:iCs/>
          <w:sz w:val="24"/>
          <w:szCs w:val="24"/>
        </w:rPr>
        <w:t>Other State Comparisons:</w:t>
      </w:r>
      <w:r w:rsidRPr="002D6500">
        <w:rPr>
          <w:rFonts w:cstheme="minorHAnsi"/>
          <w:iCs/>
          <w:sz w:val="24"/>
          <w:szCs w:val="24"/>
        </w:rPr>
        <w:t xml:space="preserve"> from 201</w:t>
      </w:r>
      <w:r>
        <w:rPr>
          <w:rFonts w:cstheme="minorHAnsi"/>
          <w:iCs/>
          <w:sz w:val="24"/>
          <w:szCs w:val="24"/>
        </w:rPr>
        <w:t>9</w:t>
      </w:r>
      <w:r w:rsidRPr="002D6500">
        <w:rPr>
          <w:rFonts w:cstheme="minorHAnsi"/>
          <w:iCs/>
          <w:sz w:val="24"/>
          <w:szCs w:val="24"/>
        </w:rPr>
        <w:t xml:space="preserve"> US Census data</w:t>
      </w:r>
      <w:r>
        <w:rPr>
          <w:rFonts w:cstheme="minorHAnsi"/>
          <w:iCs/>
          <w:sz w:val="24"/>
          <w:szCs w:val="24"/>
        </w:rPr>
        <w:t xml:space="preserve">, </w:t>
      </w:r>
      <w:r w:rsidRPr="002D6500">
        <w:rPr>
          <w:rFonts w:cstheme="minorHAnsi"/>
          <w:iCs/>
          <w:sz w:val="24"/>
          <w:szCs w:val="24"/>
        </w:rPr>
        <w:t>May 202</w:t>
      </w:r>
      <w:r>
        <w:rPr>
          <w:rFonts w:cstheme="minorHAnsi"/>
          <w:iCs/>
          <w:sz w:val="24"/>
          <w:szCs w:val="24"/>
        </w:rPr>
        <w:t>1</w:t>
      </w:r>
      <w:r w:rsidRPr="002D6500">
        <w:rPr>
          <w:rFonts w:cstheme="minorHAnsi"/>
          <w:iCs/>
          <w:sz w:val="24"/>
          <w:szCs w:val="24"/>
        </w:rPr>
        <w:t xml:space="preserve"> </w:t>
      </w:r>
      <w:hyperlink r:id="rId14" w:history="1">
        <w:r w:rsidRPr="00BA57F9">
          <w:rPr>
            <w:rStyle w:val="Hyperlink"/>
          </w:rPr>
          <w:t>https://www.census.gov/data/tables/2019/econ/school-finances/secondary-education-finance.html</w:t>
        </w:r>
      </w:hyperlink>
      <w:r>
        <w:t xml:space="preserve"> </w:t>
      </w:r>
    </w:p>
    <w:p w:rsidR="00DE7C3C" w:rsidRPr="002D6500" w:rsidRDefault="00DE7C3C" w:rsidP="00DE7C3C">
      <w:pPr>
        <w:pStyle w:val="ListParagraph"/>
        <w:numPr>
          <w:ilvl w:val="0"/>
          <w:numId w:val="8"/>
        </w:numPr>
        <w:spacing w:before="120" w:after="0" w:line="240" w:lineRule="auto"/>
        <w:rPr>
          <w:rFonts w:cstheme="minorHAnsi"/>
          <w:sz w:val="24"/>
          <w:szCs w:val="24"/>
        </w:rPr>
      </w:pPr>
      <w:r w:rsidRPr="002D6500">
        <w:rPr>
          <w:rFonts w:cstheme="minorHAnsi"/>
          <w:sz w:val="24"/>
          <w:szCs w:val="24"/>
        </w:rPr>
        <w:t xml:space="preserve">Iowa </w:t>
      </w:r>
      <w:r>
        <w:rPr>
          <w:rFonts w:cstheme="minorHAnsi"/>
          <w:sz w:val="24"/>
          <w:szCs w:val="24"/>
        </w:rPr>
        <w:t>slipped to 30</w:t>
      </w:r>
      <w:r w:rsidRPr="002D6500">
        <w:rPr>
          <w:rFonts w:cstheme="minorHAnsi"/>
          <w:sz w:val="24"/>
          <w:szCs w:val="24"/>
          <w:vertAlign w:val="superscript"/>
        </w:rPr>
        <w:t>th</w:t>
      </w:r>
      <w:r w:rsidRPr="002D6500">
        <w:rPr>
          <w:rFonts w:cstheme="minorHAnsi"/>
          <w:sz w:val="24"/>
          <w:szCs w:val="24"/>
        </w:rPr>
        <w:t xml:space="preserve"> in </w:t>
      </w:r>
      <w:r>
        <w:rPr>
          <w:rFonts w:cstheme="minorHAnsi"/>
          <w:sz w:val="24"/>
          <w:szCs w:val="24"/>
        </w:rPr>
        <w:t>per pupil</w:t>
      </w:r>
      <w:r w:rsidRPr="002D6500">
        <w:rPr>
          <w:rFonts w:cstheme="minorHAnsi"/>
          <w:sz w:val="24"/>
          <w:szCs w:val="24"/>
        </w:rPr>
        <w:t xml:space="preserve"> public elementary and secondary school system </w:t>
      </w:r>
      <w:r>
        <w:rPr>
          <w:rFonts w:cstheme="minorHAnsi"/>
          <w:sz w:val="24"/>
          <w:szCs w:val="24"/>
        </w:rPr>
        <w:t>expenditures</w:t>
      </w:r>
      <w:r w:rsidRPr="002D6500">
        <w:rPr>
          <w:rFonts w:cstheme="minorHAnsi"/>
          <w:sz w:val="24"/>
          <w:szCs w:val="24"/>
        </w:rPr>
        <w:t>, which is $1,</w:t>
      </w:r>
      <w:r>
        <w:rPr>
          <w:rFonts w:cstheme="minorHAnsi"/>
          <w:sz w:val="24"/>
          <w:szCs w:val="24"/>
        </w:rPr>
        <w:t>280</w:t>
      </w:r>
      <w:r w:rsidRPr="002D6500">
        <w:rPr>
          <w:rFonts w:cstheme="minorHAnsi"/>
          <w:sz w:val="24"/>
          <w:szCs w:val="24"/>
        </w:rPr>
        <w:t xml:space="preserve"> below the national average. </w:t>
      </w:r>
    </w:p>
    <w:p w:rsidR="00DE7C3C" w:rsidRDefault="00DE7C3C" w:rsidP="00DE7C3C">
      <w:pPr>
        <w:pStyle w:val="ListParagraph"/>
        <w:numPr>
          <w:ilvl w:val="0"/>
          <w:numId w:val="8"/>
        </w:numPr>
        <w:spacing w:before="120" w:after="0" w:line="240" w:lineRule="auto"/>
        <w:rPr>
          <w:rFonts w:cstheme="minorHAnsi"/>
          <w:sz w:val="24"/>
          <w:szCs w:val="24"/>
        </w:rPr>
      </w:pPr>
      <w:r>
        <w:rPr>
          <w:rFonts w:cstheme="minorHAnsi"/>
          <w:sz w:val="24"/>
          <w:szCs w:val="24"/>
        </w:rPr>
        <w:t>Since 2014, Iowa elementary and secondary education spending has increased 11.6%, while the national average increase has been 19.9%. In the Midwest region, Nebraska is the only state outpaced by Iowa. Iowa ranks 40</w:t>
      </w:r>
      <w:r w:rsidRPr="00705764">
        <w:rPr>
          <w:rFonts w:cstheme="minorHAnsi"/>
          <w:sz w:val="24"/>
          <w:szCs w:val="24"/>
          <w:vertAlign w:val="superscript"/>
        </w:rPr>
        <w:t>th</w:t>
      </w:r>
      <w:r>
        <w:rPr>
          <w:rFonts w:cstheme="minorHAnsi"/>
          <w:sz w:val="24"/>
          <w:szCs w:val="24"/>
        </w:rPr>
        <w:t xml:space="preserve"> nationally in the per pupil expenditure </w:t>
      </w:r>
      <w:r w:rsidRPr="009423BF">
        <w:rPr>
          <w:rFonts w:cstheme="minorHAnsi"/>
          <w:b/>
          <w:i/>
          <w:sz w:val="24"/>
          <w:szCs w:val="24"/>
        </w:rPr>
        <w:t>increase</w:t>
      </w:r>
      <w:r>
        <w:rPr>
          <w:rFonts w:cstheme="minorHAnsi"/>
          <w:sz w:val="24"/>
          <w:szCs w:val="24"/>
        </w:rPr>
        <w:t xml:space="preserve"> since 2014.</w:t>
      </w:r>
    </w:p>
    <w:p w:rsidR="00DE7C3C" w:rsidRPr="00CC2713" w:rsidRDefault="00D23B07" w:rsidP="00DE7C3C">
      <w:pPr>
        <w:pStyle w:val="ListParagraph"/>
        <w:numPr>
          <w:ilvl w:val="0"/>
          <w:numId w:val="8"/>
        </w:numPr>
        <w:spacing w:before="120" w:after="0" w:line="240" w:lineRule="auto"/>
        <w:rPr>
          <w:rFonts w:cstheme="minorHAnsi"/>
          <w:sz w:val="24"/>
          <w:szCs w:val="24"/>
        </w:rPr>
      </w:pPr>
      <w:hyperlink r:id="rId15" w:history="1">
        <w:r w:rsidR="00DE7C3C" w:rsidRPr="00CC2713">
          <w:rPr>
            <w:rStyle w:val="Hyperlink"/>
            <w:rFonts w:cstheme="minorHAnsi"/>
            <w:sz w:val="24"/>
            <w:szCs w:val="24"/>
          </w:rPr>
          <w:t>US Census data</w:t>
        </w:r>
      </w:hyperlink>
      <w:r w:rsidR="00DE7C3C" w:rsidRPr="00CC2713">
        <w:rPr>
          <w:rFonts w:cstheme="minorHAnsi"/>
          <w:sz w:val="24"/>
          <w:szCs w:val="24"/>
        </w:rPr>
        <w:t xml:space="preserve"> from May 2022 shows Iowa now $1,536 below the national average. </w:t>
      </w:r>
      <w:r w:rsidR="00DE7C3C">
        <w:rPr>
          <w:rFonts w:cstheme="minorHAnsi"/>
          <w:sz w:val="24"/>
          <w:szCs w:val="24"/>
        </w:rPr>
        <w:t xml:space="preserve">Contrast this recent trend with Iowa’s early history. In the 70s, 80s, and 90s, Iowa schools spent more than the national average per pupil on education. </w:t>
      </w:r>
      <w:hyperlink r:id="rId16" w:history="1">
        <w:r w:rsidR="00DE7C3C" w:rsidRPr="00555132">
          <w:rPr>
            <w:rStyle w:val="Hyperlink"/>
            <w:rFonts w:cstheme="minorHAnsi"/>
            <w:sz w:val="24"/>
            <w:szCs w:val="24"/>
          </w:rPr>
          <w:t>US Census data</w:t>
        </w:r>
      </w:hyperlink>
    </w:p>
    <w:p w:rsidR="00DE7C3C" w:rsidRPr="00CC2713" w:rsidRDefault="00DE7C3C" w:rsidP="00DE7C3C">
      <w:pPr>
        <w:pStyle w:val="ListParagraph"/>
        <w:numPr>
          <w:ilvl w:val="0"/>
          <w:numId w:val="8"/>
        </w:numPr>
        <w:spacing w:before="120" w:after="0" w:line="240" w:lineRule="auto"/>
        <w:rPr>
          <w:rFonts w:cstheme="minorHAnsi"/>
          <w:sz w:val="24"/>
          <w:szCs w:val="24"/>
        </w:rPr>
      </w:pPr>
      <w:r w:rsidRPr="00CC2713">
        <w:rPr>
          <w:rFonts w:cstheme="minorHAnsi"/>
          <w:sz w:val="24"/>
          <w:szCs w:val="24"/>
        </w:rPr>
        <w:t>Iowa still ranks 30</w:t>
      </w:r>
      <w:r w:rsidRPr="00CC2713">
        <w:rPr>
          <w:rFonts w:cstheme="minorHAnsi"/>
          <w:sz w:val="24"/>
          <w:szCs w:val="24"/>
          <w:vertAlign w:val="superscript"/>
        </w:rPr>
        <w:t>th</w:t>
      </w:r>
      <w:r w:rsidRPr="00CC2713">
        <w:rPr>
          <w:rFonts w:cstheme="minorHAnsi"/>
          <w:sz w:val="24"/>
          <w:szCs w:val="24"/>
        </w:rPr>
        <w:t xml:space="preserve"> in the nation in per pupil expenditures FY 2020.</w:t>
      </w:r>
      <w:r w:rsidRPr="00CC2713">
        <w:rPr>
          <w:noProof/>
        </w:rPr>
        <w:t xml:space="preserve"> </w:t>
      </w:r>
    </w:p>
    <w:p w:rsidR="00DE7C3C" w:rsidRPr="002D6500" w:rsidRDefault="00DE7C3C" w:rsidP="00DE7C3C">
      <w:pPr>
        <w:spacing w:before="120" w:line="240" w:lineRule="auto"/>
        <w:rPr>
          <w:rFonts w:cstheme="minorHAnsi"/>
          <w:sz w:val="24"/>
          <w:szCs w:val="24"/>
        </w:rPr>
      </w:pPr>
      <w:r>
        <w:rPr>
          <w:noProof/>
        </w:rPr>
        <w:drawing>
          <wp:anchor distT="0" distB="0" distL="114300" distR="114300" simplePos="0" relativeHeight="251674624" behindDoc="1" locked="0" layoutInCell="1" allowOverlap="1" wp14:anchorId="697900A1" wp14:editId="621A08F0">
            <wp:simplePos x="0" y="0"/>
            <wp:positionH relativeFrom="margin">
              <wp:posOffset>1908810</wp:posOffset>
            </wp:positionH>
            <wp:positionV relativeFrom="paragraph">
              <wp:posOffset>1427480</wp:posOffset>
            </wp:positionV>
            <wp:extent cx="4705350" cy="2500630"/>
            <wp:effectExtent l="0" t="0" r="0" b="13970"/>
            <wp:wrapTight wrapText="bothSides">
              <wp:wrapPolygon edited="0">
                <wp:start x="0" y="0"/>
                <wp:lineTo x="0" y="21556"/>
                <wp:lineTo x="21513" y="21556"/>
                <wp:lineTo x="21513" y="0"/>
                <wp:lineTo x="0" y="0"/>
              </wp:wrapPolygon>
            </wp:wrapTight>
            <wp:docPr id="7" name="Chart 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Pr>
          <w:rFonts w:cstheme="minorHAnsi"/>
          <w:sz w:val="24"/>
          <w:szCs w:val="24"/>
        </w:rPr>
        <w:t xml:space="preserve">The State’s contribution to school funding is roughly 42% of the state general fund budget. As the </w:t>
      </w:r>
      <w:r w:rsidR="007A29E9">
        <w:rPr>
          <w:rFonts w:cstheme="minorHAnsi"/>
          <w:sz w:val="24"/>
          <w:szCs w:val="24"/>
        </w:rPr>
        <w:t xml:space="preserve">State </w:t>
      </w:r>
      <w:r>
        <w:rPr>
          <w:rFonts w:cstheme="minorHAnsi"/>
          <w:sz w:val="24"/>
          <w:szCs w:val="24"/>
        </w:rPr>
        <w:t>has taken on a bigger share of the formula, lowering property taxes, the 42% benchmark is no longer indicative of a commensurate increase in resources available for educating students. The State has also created other funds (Taxpayer Relief Fund or Healthy Iowans Trust Fund) and lowered taxes, both of which invalidate the benchmark as a meaningful indicator of adequate funding. For</w:t>
      </w:r>
      <w:r w:rsidRPr="002D6500">
        <w:rPr>
          <w:rFonts w:cstheme="minorHAnsi"/>
          <w:sz w:val="24"/>
          <w:szCs w:val="24"/>
        </w:rPr>
        <w:t xml:space="preserve"> true apples-to-apples</w:t>
      </w:r>
      <w:r>
        <w:rPr>
          <w:rFonts w:cstheme="minorHAnsi"/>
          <w:sz w:val="24"/>
          <w:szCs w:val="24"/>
        </w:rPr>
        <w:t>,</w:t>
      </w:r>
      <w:r w:rsidRPr="002D6500">
        <w:rPr>
          <w:rFonts w:cstheme="minorHAnsi"/>
          <w:sz w:val="24"/>
          <w:szCs w:val="24"/>
        </w:rPr>
        <w:t xml:space="preserve"> compar</w:t>
      </w:r>
      <w:r>
        <w:rPr>
          <w:rFonts w:cstheme="minorHAnsi"/>
          <w:sz w:val="24"/>
          <w:szCs w:val="24"/>
        </w:rPr>
        <w:t>e</w:t>
      </w:r>
      <w:r w:rsidRPr="002D6500">
        <w:rPr>
          <w:rFonts w:cstheme="minorHAnsi"/>
          <w:sz w:val="24"/>
          <w:szCs w:val="24"/>
        </w:rPr>
        <w:t xml:space="preserve"> </w:t>
      </w:r>
      <w:r>
        <w:rPr>
          <w:rFonts w:cstheme="minorHAnsi"/>
          <w:sz w:val="24"/>
          <w:szCs w:val="24"/>
        </w:rPr>
        <w:t>all</w:t>
      </w:r>
      <w:r w:rsidRPr="002D6500">
        <w:rPr>
          <w:rFonts w:cstheme="minorHAnsi"/>
          <w:sz w:val="24"/>
          <w:szCs w:val="24"/>
        </w:rPr>
        <w:t xml:space="preserve"> state resources spent on education. The NASBO (National Association of State Budget Officers) annual</w:t>
      </w:r>
      <w:r>
        <w:rPr>
          <w:rFonts w:cstheme="minorHAnsi"/>
          <w:sz w:val="24"/>
          <w:szCs w:val="24"/>
        </w:rPr>
        <w:t xml:space="preserve"> </w:t>
      </w:r>
      <w:hyperlink r:id="rId18" w:history="1">
        <w:r w:rsidRPr="002D6500">
          <w:rPr>
            <w:rStyle w:val="Hyperlink"/>
            <w:rFonts w:cstheme="minorHAnsi"/>
            <w:sz w:val="24"/>
            <w:szCs w:val="24"/>
          </w:rPr>
          <w:t>State Expenditure Report</w:t>
        </w:r>
      </w:hyperlink>
      <w:r>
        <w:rPr>
          <w:rFonts w:cstheme="minorHAnsi"/>
          <w:sz w:val="24"/>
          <w:szCs w:val="24"/>
        </w:rPr>
        <w:t xml:space="preserve"> shares this comparison</w:t>
      </w:r>
      <w:r w:rsidRPr="002D6500">
        <w:rPr>
          <w:rFonts w:cstheme="minorHAnsi"/>
          <w:sz w:val="24"/>
          <w:szCs w:val="24"/>
        </w:rPr>
        <w:t>:</w:t>
      </w:r>
      <w:r w:rsidRPr="001D4061">
        <w:rPr>
          <w:noProof/>
        </w:rPr>
        <w:t xml:space="preserve"> </w:t>
      </w:r>
    </w:p>
    <w:p w:rsidR="00DE7C3C" w:rsidRPr="00D81FA2" w:rsidRDefault="00DE7C3C" w:rsidP="00DE7C3C">
      <w:pPr>
        <w:pStyle w:val="ListParagraph"/>
        <w:numPr>
          <w:ilvl w:val="0"/>
          <w:numId w:val="8"/>
        </w:numPr>
        <w:spacing w:before="120" w:after="0" w:line="240" w:lineRule="auto"/>
        <w:rPr>
          <w:rFonts w:cstheme="minorHAnsi"/>
          <w:szCs w:val="24"/>
        </w:rPr>
      </w:pPr>
      <w:r w:rsidRPr="00D81FA2">
        <w:rPr>
          <w:rFonts w:cstheme="minorHAnsi"/>
          <w:szCs w:val="24"/>
        </w:rPr>
        <w:t xml:space="preserve">In FY 2021, Iowa’s education expenditures were 16.5% of total state expenditures. Plains states averaged 18.2%. All states averaged 18.9%. </w:t>
      </w:r>
    </w:p>
    <w:p w:rsidR="000708D9" w:rsidRDefault="00DE7C3C" w:rsidP="00DE7C3C">
      <w:pPr>
        <w:pStyle w:val="ListParagraph"/>
        <w:numPr>
          <w:ilvl w:val="0"/>
          <w:numId w:val="8"/>
        </w:numPr>
        <w:spacing w:before="120" w:after="0" w:line="240" w:lineRule="auto"/>
        <w:rPr>
          <w:rFonts w:cstheme="minorHAnsi"/>
          <w:szCs w:val="24"/>
        </w:rPr>
      </w:pPr>
      <w:r w:rsidRPr="00D81FA2">
        <w:rPr>
          <w:rFonts w:cstheme="minorHAnsi"/>
          <w:szCs w:val="24"/>
        </w:rPr>
        <w:t>Iowa’s 2021 drop of 0.3% was not as steep as the national average decline as a percentage of total expenditures (</w:t>
      </w:r>
      <w:r w:rsidR="007A29E9">
        <w:rPr>
          <w:rFonts w:cstheme="minorHAnsi"/>
          <w:szCs w:val="24"/>
        </w:rPr>
        <w:t xml:space="preserve">a </w:t>
      </w:r>
      <w:r w:rsidRPr="00D81FA2">
        <w:rPr>
          <w:rFonts w:cstheme="minorHAnsi"/>
          <w:szCs w:val="24"/>
        </w:rPr>
        <w:t xml:space="preserve">reduction of 0.8%). </w:t>
      </w:r>
      <w:bookmarkStart w:id="0" w:name="_GoBack"/>
      <w:bookmarkEnd w:id="0"/>
    </w:p>
    <w:p w:rsidR="00DE7C3C" w:rsidRPr="000708D9" w:rsidRDefault="00DE7C3C" w:rsidP="000708D9"/>
    <w:p w:rsidR="00DE7C3C" w:rsidRPr="00D81FA2" w:rsidRDefault="00DE7C3C" w:rsidP="00DE7C3C">
      <w:pPr>
        <w:pStyle w:val="ListParagraph"/>
        <w:numPr>
          <w:ilvl w:val="0"/>
          <w:numId w:val="8"/>
        </w:numPr>
        <w:spacing w:before="120" w:after="0" w:line="240" w:lineRule="auto"/>
        <w:rPr>
          <w:rFonts w:cstheme="minorHAnsi"/>
          <w:szCs w:val="24"/>
        </w:rPr>
      </w:pPr>
      <w:r w:rsidRPr="00D81FA2">
        <w:rPr>
          <w:rFonts w:cstheme="minorHAnsi"/>
          <w:szCs w:val="24"/>
        </w:rPr>
        <w:lastRenderedPageBreak/>
        <w:t>Iowa’s formula has become increasingly state-funded, significantly more so than the national average.</w:t>
      </w:r>
      <w:r>
        <w:rPr>
          <w:rFonts w:cstheme="minorHAnsi"/>
          <w:szCs w:val="24"/>
        </w:rPr>
        <w:t xml:space="preserve"> </w:t>
      </w:r>
    </w:p>
    <w:p w:rsidR="00DE7C3C" w:rsidRPr="00D81FA2" w:rsidRDefault="00DE7C3C" w:rsidP="00DE7C3C">
      <w:pPr>
        <w:pStyle w:val="ListParagraph"/>
        <w:numPr>
          <w:ilvl w:val="0"/>
          <w:numId w:val="8"/>
        </w:numPr>
        <w:spacing w:before="120" w:after="0" w:line="240" w:lineRule="auto"/>
        <w:rPr>
          <w:rFonts w:cstheme="minorHAnsi"/>
          <w:szCs w:val="24"/>
        </w:rPr>
      </w:pPr>
      <w:r w:rsidRPr="00D81FA2">
        <w:rPr>
          <w:rFonts w:cstheme="minorHAnsi"/>
          <w:szCs w:val="24"/>
        </w:rPr>
        <w:t>Iowa’s ability to maintain 16.6% in FY 2021 may have been due in most part to the property tax relief portion of the formula (property tax relief payment) and changes to the foundation threshold in the formula</w:t>
      </w:r>
      <w:r>
        <w:rPr>
          <w:rFonts w:cstheme="minorHAnsi"/>
          <w:szCs w:val="24"/>
        </w:rPr>
        <w:t>,</w:t>
      </w:r>
      <w:r w:rsidRPr="00D81FA2">
        <w:rPr>
          <w:rFonts w:cstheme="minorHAnsi"/>
          <w:szCs w:val="24"/>
        </w:rPr>
        <w:t xml:space="preserve"> which increased the relative state share of school funding in Iowa.</w:t>
      </w:r>
    </w:p>
    <w:p w:rsidR="00DE7C3C" w:rsidRDefault="00DE7C3C" w:rsidP="00DE7C3C">
      <w:pPr>
        <w:spacing w:before="240" w:line="240" w:lineRule="auto"/>
        <w:rPr>
          <w:rFonts w:cstheme="minorHAnsi"/>
          <w:sz w:val="24"/>
          <w:szCs w:val="24"/>
        </w:rPr>
      </w:pPr>
      <w:r w:rsidRPr="002D6500">
        <w:rPr>
          <w:rFonts w:cstheme="minorHAnsi"/>
          <w:b/>
          <w:sz w:val="24"/>
          <w:szCs w:val="24"/>
        </w:rPr>
        <w:t>Impact:</w:t>
      </w:r>
      <w:r>
        <w:rPr>
          <w:rFonts w:cstheme="minorHAnsi"/>
          <w:sz w:val="24"/>
          <w:szCs w:val="24"/>
        </w:rPr>
        <w:t xml:space="preserve"> Efforts to educate students, prepare a qualified workforce, and deliver the excellent educational outcomes to which Iowans are accustomed </w:t>
      </w:r>
      <w:r w:rsidRPr="002D6500">
        <w:rPr>
          <w:rFonts w:cstheme="minorHAnsi"/>
          <w:sz w:val="24"/>
          <w:szCs w:val="24"/>
        </w:rPr>
        <w:t>will be compromised if the basic foundation of sc</w:t>
      </w:r>
      <w:r>
        <w:rPr>
          <w:rFonts w:cstheme="minorHAnsi"/>
          <w:sz w:val="24"/>
          <w:szCs w:val="24"/>
        </w:rPr>
        <w:t xml:space="preserve">hool funding is not sustained. </w:t>
      </w:r>
      <w:r w:rsidRPr="002D6500">
        <w:rPr>
          <w:rFonts w:cstheme="minorHAnsi"/>
          <w:sz w:val="24"/>
          <w:szCs w:val="24"/>
        </w:rPr>
        <w:t>There are not enough qualified applicants to fill jobs, generally indicating that the profession of teaching is bein</w:t>
      </w:r>
      <w:r>
        <w:rPr>
          <w:rFonts w:cstheme="minorHAnsi"/>
          <w:sz w:val="24"/>
          <w:szCs w:val="24"/>
        </w:rPr>
        <w:t xml:space="preserve">g outpaced in the marketplace. Class sizes are going up. </w:t>
      </w:r>
      <w:r w:rsidRPr="002D6500">
        <w:rPr>
          <w:rFonts w:cstheme="minorHAnsi"/>
          <w:sz w:val="24"/>
          <w:szCs w:val="24"/>
        </w:rPr>
        <w:t>Programs are being eliminated. Districts are offering fewer extracurricular and fine arts opportunities for students, especially in middle school.</w:t>
      </w:r>
      <w:r>
        <w:rPr>
          <w:rFonts w:cstheme="minorHAnsi"/>
          <w:sz w:val="24"/>
          <w:szCs w:val="24"/>
        </w:rPr>
        <w:t xml:space="preserve"> </w:t>
      </w:r>
      <w:r w:rsidRPr="002D6500">
        <w:rPr>
          <w:rFonts w:cstheme="minorHAnsi"/>
          <w:sz w:val="24"/>
          <w:szCs w:val="24"/>
        </w:rPr>
        <w:t xml:space="preserve">SSA is the lifeblood of </w:t>
      </w:r>
      <w:r w:rsidR="00007C8F">
        <w:rPr>
          <w:rFonts w:cstheme="minorHAnsi"/>
          <w:sz w:val="24"/>
          <w:szCs w:val="24"/>
        </w:rPr>
        <w:t>Iowa</w:t>
      </w:r>
      <w:r w:rsidR="007A29E9">
        <w:rPr>
          <w:rFonts w:cstheme="minorHAnsi"/>
          <w:sz w:val="24"/>
          <w:szCs w:val="24"/>
        </w:rPr>
        <w:t xml:space="preserve"> </w:t>
      </w:r>
      <w:r>
        <w:rPr>
          <w:rFonts w:cstheme="minorHAnsi"/>
          <w:sz w:val="24"/>
          <w:szCs w:val="24"/>
        </w:rPr>
        <w:t xml:space="preserve">schools. </w:t>
      </w:r>
      <w:r w:rsidRPr="002D6500">
        <w:rPr>
          <w:rFonts w:cstheme="minorHAnsi"/>
          <w:sz w:val="24"/>
          <w:szCs w:val="24"/>
        </w:rPr>
        <w:t xml:space="preserve">Declining enrollment combined with low SSA means </w:t>
      </w:r>
      <w:r w:rsidR="00007C8F">
        <w:rPr>
          <w:rFonts w:cstheme="minorHAnsi"/>
          <w:sz w:val="24"/>
          <w:szCs w:val="24"/>
        </w:rPr>
        <w:t>reduced staff, fewer programs, stretched services and ultimately, less opportunities and choices for students.</w:t>
      </w:r>
    </w:p>
    <w:p w:rsidR="00DE7C3C" w:rsidRPr="00DE7C3C" w:rsidRDefault="00DE7C3C" w:rsidP="00DE7C3C">
      <w:pPr>
        <w:pBdr>
          <w:top w:val="single" w:sz="4" w:space="1" w:color="auto"/>
          <w:left w:val="single" w:sz="4" w:space="4" w:color="auto"/>
          <w:bottom w:val="single" w:sz="4" w:space="1" w:color="auto"/>
          <w:right w:val="single" w:sz="4" w:space="4" w:color="auto"/>
        </w:pBdr>
        <w:spacing w:after="160" w:line="240" w:lineRule="auto"/>
        <w:rPr>
          <w:rFonts w:cstheme="minorHAnsi"/>
          <w:i/>
          <w:sz w:val="24"/>
          <w:szCs w:val="24"/>
        </w:rPr>
      </w:pPr>
      <w:r w:rsidRPr="00DE7C3C">
        <w:rPr>
          <w:rFonts w:cstheme="minorHAnsi"/>
          <w:b/>
          <w:sz w:val="28"/>
          <w:szCs w:val="24"/>
        </w:rPr>
        <w:t>Invest in Iowa’s Future</w:t>
      </w:r>
      <w:r w:rsidRPr="00DE7C3C">
        <w:rPr>
          <w:rFonts w:cstheme="minorHAnsi"/>
          <w:sz w:val="28"/>
          <w:szCs w:val="24"/>
        </w:rPr>
        <w:br/>
      </w:r>
      <w:r w:rsidRPr="00DE7C3C">
        <w:rPr>
          <w:rFonts w:cstheme="minorHAnsi"/>
          <w:sz w:val="24"/>
          <w:szCs w:val="24"/>
        </w:rPr>
        <w:t xml:space="preserve">Fund Iowa’s public schools at a level sufficient to deliver the quality education all Iowa students deserve and need to be successful. Adequate funding provides program options, delivery options and individual student place-based choice within their neighborhood public school. The goals of public education are to close achievement gaps, provide career exploration and work-based learning experiences, fine arts, and extra-curriculars to help students uncover their skills and passions. This quality education prepares all students for engaged citizenship, further postsecondary study and/or credentialed workforce participation. </w:t>
      </w:r>
    </w:p>
    <w:p w:rsidR="00DE7C3C" w:rsidRDefault="00DE7C3C" w:rsidP="00DE7C3C">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r>
        <w:rPr>
          <w:rFonts w:cstheme="minorHAnsi"/>
          <w:sz w:val="24"/>
          <w:szCs w:val="24"/>
        </w:rPr>
        <w:t xml:space="preserve">Adequate funding </w:t>
      </w:r>
      <w:r w:rsidRPr="00995032">
        <w:rPr>
          <w:rFonts w:cstheme="minorHAnsi"/>
          <w:sz w:val="24"/>
          <w:szCs w:val="24"/>
        </w:rPr>
        <w:t>position</w:t>
      </w:r>
      <w:r>
        <w:rPr>
          <w:rFonts w:cstheme="minorHAnsi"/>
          <w:sz w:val="24"/>
          <w:szCs w:val="24"/>
        </w:rPr>
        <w:t>s</w:t>
      </w:r>
      <w:r w:rsidRPr="00995032">
        <w:rPr>
          <w:rFonts w:cstheme="minorHAnsi"/>
          <w:sz w:val="24"/>
          <w:szCs w:val="24"/>
        </w:rPr>
        <w:t xml:space="preserve"> public schools to respond to needs deepened by the pandemic, do better fo</w:t>
      </w:r>
      <w:r>
        <w:rPr>
          <w:rFonts w:cstheme="minorHAnsi"/>
          <w:sz w:val="24"/>
          <w:szCs w:val="24"/>
        </w:rPr>
        <w:t xml:space="preserve">r our most at-risk students, </w:t>
      </w:r>
      <w:r w:rsidRPr="00995032">
        <w:rPr>
          <w:rFonts w:cstheme="minorHAnsi"/>
          <w:sz w:val="24"/>
          <w:szCs w:val="24"/>
        </w:rPr>
        <w:t>provide supports and enhancements for specia</w:t>
      </w:r>
      <w:r>
        <w:rPr>
          <w:rFonts w:cstheme="minorHAnsi"/>
          <w:sz w:val="24"/>
          <w:szCs w:val="24"/>
        </w:rPr>
        <w:t xml:space="preserve">l needs and gifted students, </w:t>
      </w:r>
      <w:r w:rsidRPr="00995032">
        <w:rPr>
          <w:rFonts w:cstheme="minorHAnsi"/>
          <w:sz w:val="24"/>
          <w:szCs w:val="24"/>
        </w:rPr>
        <w:t>provide more individualized attention and build better relationships via</w:t>
      </w:r>
      <w:r>
        <w:rPr>
          <w:rFonts w:cstheme="minorHAnsi"/>
          <w:sz w:val="24"/>
          <w:szCs w:val="24"/>
        </w:rPr>
        <w:t xml:space="preserve"> smaller class sizes, </w:t>
      </w:r>
      <w:r w:rsidRPr="00995032">
        <w:rPr>
          <w:rFonts w:cstheme="minorHAnsi"/>
          <w:sz w:val="24"/>
          <w:szCs w:val="24"/>
        </w:rPr>
        <w:t>provide a more diverse, multi-</w:t>
      </w:r>
      <w:r>
        <w:rPr>
          <w:rFonts w:cstheme="minorHAnsi"/>
          <w:sz w:val="24"/>
          <w:szCs w:val="24"/>
        </w:rPr>
        <w:t xml:space="preserve">lingual workforce, and </w:t>
      </w:r>
      <w:r w:rsidRPr="00995032">
        <w:rPr>
          <w:rFonts w:cstheme="minorHAnsi"/>
          <w:sz w:val="24"/>
          <w:szCs w:val="24"/>
        </w:rPr>
        <w:t>hire and competitively compensate the dedicated teaching and support staff who nurture and challenge today’s students, tomorrow’s leaders. Iowans expect top</w:t>
      </w:r>
      <w:r>
        <w:rPr>
          <w:rFonts w:cstheme="minorHAnsi"/>
          <w:sz w:val="24"/>
          <w:szCs w:val="24"/>
        </w:rPr>
        <w:t>-</w:t>
      </w:r>
      <w:r w:rsidRPr="00995032">
        <w:rPr>
          <w:rFonts w:cstheme="minorHAnsi"/>
          <w:sz w:val="24"/>
          <w:szCs w:val="24"/>
        </w:rPr>
        <w:t xml:space="preserve">notch public schools with many programming choices for students. </w:t>
      </w:r>
    </w:p>
    <w:p w:rsidR="00DE7C3C" w:rsidRDefault="00DE7C3C" w:rsidP="00DE7C3C">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r w:rsidRPr="00995032">
        <w:rPr>
          <w:rFonts w:cstheme="minorHAnsi"/>
          <w:sz w:val="24"/>
          <w:szCs w:val="24"/>
        </w:rPr>
        <w:t>The funding level should demonstrate Iowa citizens’ recognition that PK-12 Education drives family decisions for where to live, where to work and where to go to school in every community. Our high-quality public schools in Iowa provide our business community with a great recruitment and economic development tool.</w:t>
      </w:r>
      <w:r>
        <w:rPr>
          <w:rFonts w:cstheme="minorHAnsi"/>
          <w:sz w:val="24"/>
          <w:szCs w:val="24"/>
        </w:rPr>
        <w:t xml:space="preserve"> </w:t>
      </w:r>
    </w:p>
    <w:p w:rsidR="00DE7C3C" w:rsidRPr="00995032" w:rsidRDefault="00DE7C3C" w:rsidP="00DE7C3C">
      <w:pPr>
        <w:pBdr>
          <w:top w:val="single" w:sz="4" w:space="1" w:color="auto"/>
          <w:left w:val="single" w:sz="4" w:space="4" w:color="auto"/>
          <w:bottom w:val="single" w:sz="4" w:space="1" w:color="auto"/>
          <w:right w:val="single" w:sz="4" w:space="4" w:color="auto"/>
        </w:pBdr>
        <w:spacing w:line="240" w:lineRule="auto"/>
        <w:rPr>
          <w:rFonts w:cstheme="minorHAnsi"/>
          <w:i/>
          <w:sz w:val="24"/>
          <w:szCs w:val="24"/>
        </w:rPr>
      </w:pPr>
      <w:r>
        <w:rPr>
          <w:rFonts w:cstheme="minorHAnsi"/>
          <w:sz w:val="24"/>
          <w:szCs w:val="24"/>
        </w:rPr>
        <w:t>Iowa’s funding formula includes meaningful and significant categorical funds which support teachers, school improvement and students.</w:t>
      </w:r>
      <w:r w:rsidR="007A29E9">
        <w:rPr>
          <w:rFonts w:cstheme="minorHAnsi"/>
          <w:sz w:val="24"/>
          <w:szCs w:val="24"/>
        </w:rPr>
        <w:t xml:space="preserve"> </w:t>
      </w:r>
      <w:r w:rsidRPr="00995032">
        <w:rPr>
          <w:rFonts w:cstheme="minorHAnsi"/>
          <w:sz w:val="24"/>
          <w:szCs w:val="24"/>
        </w:rPr>
        <w:t xml:space="preserve">Adequate and timely SSA, at least meeting the </w:t>
      </w:r>
      <w:r>
        <w:rPr>
          <w:rFonts w:cstheme="minorHAnsi"/>
          <w:sz w:val="24"/>
          <w:szCs w:val="24"/>
        </w:rPr>
        <w:t>inflation rate</w:t>
      </w:r>
      <w:r w:rsidRPr="00995032">
        <w:rPr>
          <w:rFonts w:cstheme="minorHAnsi"/>
          <w:sz w:val="24"/>
          <w:szCs w:val="24"/>
        </w:rPr>
        <w:t xml:space="preserve">, is needed to deliver and sustain world-class educational opportunities for students. Funding should be set predictably, timely, sustainably and equitably. Continued progress on inequity within the formula is important. Districts must have adequate funding to address growing inflation and teacher and other staff shortages in Iowa’s competitive employment economy. </w:t>
      </w:r>
    </w:p>
    <w:sectPr w:rsidR="00DE7C3C" w:rsidRPr="00995032" w:rsidSect="002D6500">
      <w:headerReference w:type="default" r:id="rId19"/>
      <w:pgSz w:w="12240" w:h="15840" w:code="1"/>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B07" w:rsidRDefault="00D23B07" w:rsidP="00636F64">
      <w:pPr>
        <w:spacing w:after="0" w:line="240" w:lineRule="auto"/>
      </w:pPr>
      <w:r>
        <w:separator/>
      </w:r>
    </w:p>
  </w:endnote>
  <w:endnote w:type="continuationSeparator" w:id="0">
    <w:p w:rsidR="00D23B07" w:rsidRDefault="00D23B07"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552702"/>
      <w:docPartObj>
        <w:docPartGallery w:val="Page Numbers (Bottom of Page)"/>
        <w:docPartUnique/>
      </w:docPartObj>
    </w:sdtPr>
    <w:sdtEndPr>
      <w:rPr>
        <w:noProof/>
      </w:rPr>
    </w:sdtEndPr>
    <w:sdtContent>
      <w:sdt>
        <w:sdtPr>
          <w:rPr>
            <w:sz w:val="20"/>
            <w:szCs w:val="20"/>
          </w:rPr>
          <w:id w:val="109792494"/>
          <w:docPartObj>
            <w:docPartGallery w:val="Page Numbers (Bottom of Page)"/>
            <w:docPartUnique/>
          </w:docPartObj>
        </w:sdtPr>
        <w:sdtEndPr>
          <w:rPr>
            <w:noProof/>
          </w:rPr>
        </w:sdtEndPr>
        <w:sdtContent>
          <w:p w:rsidR="002D6500" w:rsidRPr="000630D9" w:rsidRDefault="000630D9" w:rsidP="000630D9">
            <w:pPr>
              <w:pStyle w:val="Footer"/>
              <w:jc w:val="center"/>
              <w:rPr>
                <w:sz w:val="20"/>
                <w:szCs w:val="20"/>
              </w:rPr>
            </w:pPr>
            <w:r>
              <w:rPr>
                <w:sz w:val="20"/>
                <w:szCs w:val="20"/>
              </w:rPr>
              <w:t>UEN</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185817">
                <w:rPr>
                  <w:rStyle w:val="Hyperlink"/>
                  <w:sz w:val="20"/>
                  <w:szCs w:val="20"/>
                </w:rPr>
                <w:t>www.uen-ia.org</w:t>
              </w:r>
            </w:hyperlink>
            <w:r w:rsidRPr="00414BD6">
              <w:rPr>
                <w:sz w:val="20"/>
                <w:szCs w:val="20"/>
              </w:rPr>
              <w:br/>
              <w:t xml:space="preserve">Margaret Buckton, </w:t>
            </w:r>
            <w:r>
              <w:rPr>
                <w:sz w:val="20"/>
                <w:szCs w:val="20"/>
              </w:rPr>
              <w:t>Executive Director</w:t>
            </w:r>
            <w:r w:rsidRPr="00414BD6">
              <w:rPr>
                <w:sz w:val="20"/>
                <w:szCs w:val="20"/>
              </w:rPr>
              <w:t xml:space="preserve">, </w:t>
            </w:r>
            <w:hyperlink r:id="rId2" w:history="1">
              <w:r w:rsidRPr="00185817">
                <w:rPr>
                  <w:rStyle w:val="Hyperlink"/>
                  <w:sz w:val="20"/>
                  <w:szCs w:val="20"/>
                </w:rPr>
                <w:t>margaret@iowaschoolfinance.com</w:t>
              </w:r>
            </w:hyperlink>
            <w:r w:rsidRPr="00414BD6">
              <w:rPr>
                <w:sz w:val="20"/>
                <w:szCs w:val="20"/>
              </w:rPr>
              <w:t xml:space="preserve"> </w:t>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43893"/>
      <w:docPartObj>
        <w:docPartGallery w:val="Page Numbers (Bottom of Page)"/>
        <w:docPartUnique/>
      </w:docPartObj>
    </w:sdtPr>
    <w:sdtEndPr>
      <w:rPr>
        <w:noProof/>
      </w:rPr>
    </w:sdtEndPr>
    <w:sdtContent>
      <w:sdt>
        <w:sdtPr>
          <w:rPr>
            <w:sz w:val="20"/>
            <w:szCs w:val="20"/>
          </w:rPr>
          <w:id w:val="1925832576"/>
          <w:docPartObj>
            <w:docPartGallery w:val="Page Numbers (Bottom of Page)"/>
            <w:docPartUnique/>
          </w:docPartObj>
        </w:sdtPr>
        <w:sdtEndPr>
          <w:rPr>
            <w:noProof/>
          </w:rPr>
        </w:sdtEndPr>
        <w:sdtContent>
          <w:p w:rsidR="000708D9" w:rsidRPr="000708D9" w:rsidRDefault="000708D9" w:rsidP="000708D9">
            <w:pPr>
              <w:pStyle w:val="Footer"/>
              <w:jc w:val="center"/>
              <w:rPr>
                <w:sz w:val="20"/>
                <w:szCs w:val="20"/>
              </w:rPr>
            </w:pPr>
            <w:r>
              <w:rPr>
                <w:sz w:val="20"/>
                <w:szCs w:val="20"/>
              </w:rPr>
              <w:t>UEN</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185817">
                <w:rPr>
                  <w:rStyle w:val="Hyperlink"/>
                  <w:sz w:val="20"/>
                  <w:szCs w:val="20"/>
                </w:rPr>
                <w:t>www.uen-ia.org</w:t>
              </w:r>
            </w:hyperlink>
            <w:r w:rsidRPr="00414BD6">
              <w:rPr>
                <w:sz w:val="20"/>
                <w:szCs w:val="20"/>
              </w:rPr>
              <w:br/>
              <w:t xml:space="preserve">Margaret Buckton, </w:t>
            </w:r>
            <w:r>
              <w:rPr>
                <w:sz w:val="20"/>
                <w:szCs w:val="20"/>
              </w:rPr>
              <w:t>Executive Director</w:t>
            </w:r>
            <w:r w:rsidRPr="00414BD6">
              <w:rPr>
                <w:sz w:val="20"/>
                <w:szCs w:val="20"/>
              </w:rPr>
              <w:t xml:space="preserve">, </w:t>
            </w:r>
            <w:hyperlink r:id="rId2" w:history="1">
              <w:r w:rsidRPr="00185817">
                <w:rPr>
                  <w:rStyle w:val="Hyperlink"/>
                  <w:sz w:val="20"/>
                  <w:szCs w:val="20"/>
                </w:rPr>
                <w:t>margaret@iowaschoolfinance.com</w:t>
              </w:r>
            </w:hyperlink>
            <w:r w:rsidRPr="00414BD6">
              <w:rPr>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B07" w:rsidRDefault="00D23B07" w:rsidP="00636F64">
      <w:pPr>
        <w:spacing w:after="0" w:line="240" w:lineRule="auto"/>
      </w:pPr>
      <w:r>
        <w:separator/>
      </w:r>
    </w:p>
  </w:footnote>
  <w:footnote w:type="continuationSeparator" w:id="0">
    <w:p w:rsidR="00D23B07" w:rsidRDefault="00D23B07"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445" w:rsidRDefault="000630D9" w:rsidP="002D6500">
    <w:pPr>
      <w:pStyle w:val="Header"/>
      <w:tabs>
        <w:tab w:val="clear" w:pos="4680"/>
        <w:tab w:val="clear" w:pos="9360"/>
        <w:tab w:val="left" w:pos="5946"/>
      </w:tabs>
    </w:pPr>
    <w:r>
      <w:rPr>
        <w:noProof/>
      </w:rPr>
      <w:drawing>
        <wp:anchor distT="0" distB="0" distL="114300" distR="114300" simplePos="0" relativeHeight="251659264" behindDoc="1" locked="0" layoutInCell="1" allowOverlap="1" wp14:anchorId="12126A42" wp14:editId="6783104F">
          <wp:simplePos x="0" y="0"/>
          <wp:positionH relativeFrom="page">
            <wp:posOffset>685800</wp:posOffset>
          </wp:positionH>
          <wp:positionV relativeFrom="paragraph">
            <wp:posOffset>0</wp:posOffset>
          </wp:positionV>
          <wp:extent cx="6240780" cy="13868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EN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0780" cy="1386840"/>
                  </a:xfrm>
                  <a:prstGeom prst="rect">
                    <a:avLst/>
                  </a:prstGeom>
                </pic:spPr>
              </pic:pic>
            </a:graphicData>
          </a:graphic>
          <wp14:sizeRelH relativeFrom="margin">
            <wp14:pctWidth>0</wp14:pctWidth>
          </wp14:sizeRelH>
          <wp14:sizeRelV relativeFrom="margin">
            <wp14:pctHeight>0</wp14:pctHeight>
          </wp14:sizeRelV>
        </wp:anchor>
      </w:drawing>
    </w:r>
    <w:r w:rsidR="002D6500">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C3C" w:rsidRDefault="00DE7C3C" w:rsidP="00DE7C3C">
    <w:pPr>
      <w:pStyle w:val="Header"/>
    </w:pPr>
    <w:r>
      <w:rPr>
        <w:noProof/>
      </w:rPr>
      <w:drawing>
        <wp:anchor distT="0" distB="0" distL="114300" distR="114300" simplePos="0" relativeHeight="251661312" behindDoc="1" locked="0" layoutInCell="1" allowOverlap="1" wp14:anchorId="7FACC381" wp14:editId="21D52540">
          <wp:simplePos x="0" y="0"/>
          <wp:positionH relativeFrom="page">
            <wp:posOffset>685800</wp:posOffset>
          </wp:positionH>
          <wp:positionV relativeFrom="paragraph">
            <wp:posOffset>0</wp:posOffset>
          </wp:positionV>
          <wp:extent cx="6240780" cy="1386840"/>
          <wp:effectExtent l="0" t="0" r="762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EN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0780" cy="1386840"/>
                  </a:xfrm>
                  <a:prstGeom prst="rect">
                    <a:avLst/>
                  </a:prstGeom>
                </pic:spPr>
              </pic:pic>
            </a:graphicData>
          </a:graphic>
          <wp14:sizeRelH relativeFrom="margin">
            <wp14:pctWidth>0</wp14:pctWidth>
          </wp14:sizeRelH>
          <wp14:sizeRelV relativeFrom="margin">
            <wp14:pctHeight>0</wp14:pctHeight>
          </wp14:sizeRelV>
        </wp:anchor>
      </w:drawing>
    </w:r>
  </w:p>
  <w:p w:rsidR="00DE7C3C" w:rsidRDefault="00DE7C3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84" w:rsidRDefault="000630D9" w:rsidP="007C5484">
    <w:pPr>
      <w:pStyle w:val="Header"/>
      <w:tabs>
        <w:tab w:val="clear" w:pos="9360"/>
        <w:tab w:val="right" w:pos="9900"/>
      </w:tabs>
      <w:rPr>
        <w:i/>
        <w:sz w:val="20"/>
        <w:szCs w:val="20"/>
      </w:rPr>
    </w:pPr>
    <w:r>
      <w:rPr>
        <w:i/>
        <w:sz w:val="20"/>
        <w:szCs w:val="20"/>
      </w:rPr>
      <w:t>UEN</w:t>
    </w:r>
    <w:r w:rsidR="007C5484">
      <w:rPr>
        <w:i/>
        <w:sz w:val="20"/>
        <w:szCs w:val="20"/>
      </w:rPr>
      <w:t xml:space="preserve"> 202</w:t>
    </w:r>
    <w:r w:rsidR="00DE7C3C">
      <w:rPr>
        <w:i/>
        <w:sz w:val="20"/>
        <w:szCs w:val="20"/>
      </w:rPr>
      <w:t>3</w:t>
    </w:r>
    <w:r w:rsidR="007C5484">
      <w:rPr>
        <w:i/>
        <w:sz w:val="20"/>
        <w:szCs w:val="20"/>
      </w:rPr>
      <w:t xml:space="preserve"> Legislative Priority:</w:t>
    </w:r>
    <w:r w:rsidR="007C5484">
      <w:rPr>
        <w:i/>
        <w:sz w:val="20"/>
        <w:szCs w:val="20"/>
      </w:rPr>
      <w:tab/>
    </w:r>
    <w:r w:rsidR="007C5484">
      <w:rPr>
        <w:i/>
        <w:sz w:val="20"/>
        <w:szCs w:val="20"/>
      </w:rPr>
      <w:tab/>
      <w:t>Page</w:t>
    </w:r>
    <w:r w:rsidR="00160F91">
      <w:rPr>
        <w:i/>
        <w:sz w:val="20"/>
        <w:szCs w:val="20"/>
      </w:rPr>
      <w:t xml:space="preserve"> </w:t>
    </w:r>
    <w:sdt>
      <w:sdtPr>
        <w:rPr>
          <w:i/>
          <w:noProof/>
          <w:sz w:val="20"/>
          <w:szCs w:val="20"/>
        </w:rPr>
        <w:id w:val="-1249347584"/>
        <w:docPartObj>
          <w:docPartGallery w:val="Page Numbers (Top of Page)"/>
          <w:docPartUnique/>
        </w:docPartObj>
      </w:sdtPr>
      <w:sdtEndPr/>
      <w:sdtContent>
        <w:r w:rsidR="007C5484">
          <w:rPr>
            <w:i/>
            <w:sz w:val="20"/>
            <w:szCs w:val="20"/>
          </w:rPr>
          <w:fldChar w:fldCharType="begin"/>
        </w:r>
        <w:r w:rsidR="007C5484">
          <w:rPr>
            <w:i/>
            <w:sz w:val="20"/>
            <w:szCs w:val="20"/>
          </w:rPr>
          <w:instrText xml:space="preserve"> PAGE   \* MERGEFORMAT </w:instrText>
        </w:r>
        <w:r w:rsidR="007C5484">
          <w:rPr>
            <w:i/>
            <w:sz w:val="20"/>
            <w:szCs w:val="20"/>
          </w:rPr>
          <w:fldChar w:fldCharType="separate"/>
        </w:r>
        <w:r w:rsidR="000708D9">
          <w:rPr>
            <w:i/>
            <w:noProof/>
            <w:sz w:val="20"/>
            <w:szCs w:val="20"/>
          </w:rPr>
          <w:t>2</w:t>
        </w:r>
        <w:r w:rsidR="007C5484">
          <w:rPr>
            <w:i/>
            <w:noProof/>
            <w:sz w:val="20"/>
            <w:szCs w:val="20"/>
          </w:rPr>
          <w:fldChar w:fldCharType="end"/>
        </w:r>
        <w:r w:rsidR="007C5484">
          <w:rPr>
            <w:i/>
            <w:noProof/>
            <w:sz w:val="20"/>
            <w:szCs w:val="20"/>
          </w:rPr>
          <w:br/>
        </w:r>
        <w:r>
          <w:rPr>
            <w:i/>
            <w:sz w:val="20"/>
            <w:szCs w:val="20"/>
          </w:rPr>
          <w:t>Investment in Iowa’s Future/</w:t>
        </w:r>
        <w:r w:rsidR="007C5484">
          <w:rPr>
            <w:i/>
            <w:sz w:val="20"/>
            <w:szCs w:val="20"/>
          </w:rPr>
          <w:t>Adequate Education Funding</w:t>
        </w:r>
      </w:sdtContent>
    </w:sdt>
  </w:p>
  <w:p w:rsidR="007C5484" w:rsidRDefault="007C5484" w:rsidP="002D6500">
    <w:pPr>
      <w:pStyle w:val="Header"/>
      <w:tabs>
        <w:tab w:val="clear" w:pos="4680"/>
        <w:tab w:val="clear" w:pos="9360"/>
        <w:tab w:val="left" w:pos="594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B2E1B"/>
    <w:multiLevelType w:val="hybridMultilevel"/>
    <w:tmpl w:val="98489276"/>
    <w:lvl w:ilvl="0" w:tplc="40A671BA">
      <w:numFmt w:val="bullet"/>
      <w:lvlText w:val=""/>
      <w:lvlJc w:val="left"/>
      <w:pPr>
        <w:ind w:left="720" w:hanging="360"/>
      </w:pPr>
      <w:rPr>
        <w:rFonts w:ascii="Symbol" w:eastAsiaTheme="minorHAnsi" w:hAnsi="Symbol" w:cstheme="minorHAnsi" w:hint="default"/>
        <w:b/>
        <w:i w:val="0"/>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26028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0C2768"/>
    <w:multiLevelType w:val="hybridMultilevel"/>
    <w:tmpl w:val="D25A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D78BA"/>
    <w:multiLevelType w:val="hybridMultilevel"/>
    <w:tmpl w:val="AEC8DC4C"/>
    <w:lvl w:ilvl="0" w:tplc="E0AA9E9C">
      <w:start w:val="1"/>
      <w:numFmt w:val="bullet"/>
      <w:lvlText w:val=""/>
      <w:lvlJc w:val="left"/>
      <w:pPr>
        <w:tabs>
          <w:tab w:val="num" w:pos="720"/>
        </w:tabs>
        <w:ind w:left="720" w:hanging="360"/>
      </w:pPr>
      <w:rPr>
        <w:rFonts w:ascii="Wingdings" w:hAnsi="Wingdings" w:hint="default"/>
      </w:rPr>
    </w:lvl>
    <w:lvl w:ilvl="1" w:tplc="2FA2E300">
      <w:start w:val="1"/>
      <w:numFmt w:val="bullet"/>
      <w:lvlText w:val=""/>
      <w:lvlJc w:val="left"/>
      <w:pPr>
        <w:tabs>
          <w:tab w:val="num" w:pos="1440"/>
        </w:tabs>
        <w:ind w:left="1440" w:hanging="360"/>
      </w:pPr>
      <w:rPr>
        <w:rFonts w:ascii="Wingdings" w:hAnsi="Wingdings" w:hint="default"/>
      </w:rPr>
    </w:lvl>
    <w:lvl w:ilvl="2" w:tplc="FAF8B13A">
      <w:start w:val="1"/>
      <w:numFmt w:val="bullet"/>
      <w:lvlText w:val=""/>
      <w:lvlJc w:val="left"/>
      <w:pPr>
        <w:tabs>
          <w:tab w:val="num" w:pos="2160"/>
        </w:tabs>
        <w:ind w:left="2160" w:hanging="360"/>
      </w:pPr>
      <w:rPr>
        <w:rFonts w:ascii="Wingdings" w:hAnsi="Wingdings" w:hint="default"/>
      </w:rPr>
    </w:lvl>
    <w:lvl w:ilvl="3" w:tplc="81AAD4AA">
      <w:start w:val="1"/>
      <w:numFmt w:val="bullet"/>
      <w:lvlText w:val=""/>
      <w:lvlJc w:val="left"/>
      <w:pPr>
        <w:tabs>
          <w:tab w:val="num" w:pos="2880"/>
        </w:tabs>
        <w:ind w:left="2880" w:hanging="360"/>
      </w:pPr>
      <w:rPr>
        <w:rFonts w:ascii="Wingdings" w:hAnsi="Wingdings" w:hint="default"/>
      </w:rPr>
    </w:lvl>
    <w:lvl w:ilvl="4" w:tplc="083EB2C6" w:tentative="1">
      <w:start w:val="1"/>
      <w:numFmt w:val="bullet"/>
      <w:lvlText w:val=""/>
      <w:lvlJc w:val="left"/>
      <w:pPr>
        <w:tabs>
          <w:tab w:val="num" w:pos="3600"/>
        </w:tabs>
        <w:ind w:left="3600" w:hanging="360"/>
      </w:pPr>
      <w:rPr>
        <w:rFonts w:ascii="Wingdings" w:hAnsi="Wingdings" w:hint="default"/>
      </w:rPr>
    </w:lvl>
    <w:lvl w:ilvl="5" w:tplc="FCC0EA16" w:tentative="1">
      <w:start w:val="1"/>
      <w:numFmt w:val="bullet"/>
      <w:lvlText w:val=""/>
      <w:lvlJc w:val="left"/>
      <w:pPr>
        <w:tabs>
          <w:tab w:val="num" w:pos="4320"/>
        </w:tabs>
        <w:ind w:left="4320" w:hanging="360"/>
      </w:pPr>
      <w:rPr>
        <w:rFonts w:ascii="Wingdings" w:hAnsi="Wingdings" w:hint="default"/>
      </w:rPr>
    </w:lvl>
    <w:lvl w:ilvl="6" w:tplc="F69694A0" w:tentative="1">
      <w:start w:val="1"/>
      <w:numFmt w:val="bullet"/>
      <w:lvlText w:val=""/>
      <w:lvlJc w:val="left"/>
      <w:pPr>
        <w:tabs>
          <w:tab w:val="num" w:pos="5040"/>
        </w:tabs>
        <w:ind w:left="5040" w:hanging="360"/>
      </w:pPr>
      <w:rPr>
        <w:rFonts w:ascii="Wingdings" w:hAnsi="Wingdings" w:hint="default"/>
      </w:rPr>
    </w:lvl>
    <w:lvl w:ilvl="7" w:tplc="251273A0" w:tentative="1">
      <w:start w:val="1"/>
      <w:numFmt w:val="bullet"/>
      <w:lvlText w:val=""/>
      <w:lvlJc w:val="left"/>
      <w:pPr>
        <w:tabs>
          <w:tab w:val="num" w:pos="5760"/>
        </w:tabs>
        <w:ind w:left="5760" w:hanging="360"/>
      </w:pPr>
      <w:rPr>
        <w:rFonts w:ascii="Wingdings" w:hAnsi="Wingdings" w:hint="default"/>
      </w:rPr>
    </w:lvl>
    <w:lvl w:ilvl="8" w:tplc="25AE09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824861"/>
    <w:multiLevelType w:val="hybridMultilevel"/>
    <w:tmpl w:val="EB9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0"/>
  </w:num>
  <w:num w:numId="3">
    <w:abstractNumId w:val="1"/>
  </w:num>
  <w:num w:numId="4">
    <w:abstractNumId w:val="4"/>
  </w:num>
  <w:num w:numId="5">
    <w:abstractNumId w:val="3"/>
  </w:num>
  <w:num w:numId="6">
    <w:abstractNumId w:val="9"/>
  </w:num>
  <w:num w:numId="7">
    <w:abstractNumId w:val="6"/>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srQ0sTA1MzYzNDRU0lEKTi0uzszPAykwqQUAh7Y+7CwAAAA="/>
  </w:docVars>
  <w:rsids>
    <w:rsidRoot w:val="00636F64"/>
    <w:rsid w:val="0000123E"/>
    <w:rsid w:val="00002A88"/>
    <w:rsid w:val="00005015"/>
    <w:rsid w:val="00007C8F"/>
    <w:rsid w:val="00014532"/>
    <w:rsid w:val="0002090F"/>
    <w:rsid w:val="0002093B"/>
    <w:rsid w:val="00024A63"/>
    <w:rsid w:val="00024DDD"/>
    <w:rsid w:val="00027E5E"/>
    <w:rsid w:val="00032CA1"/>
    <w:rsid w:val="00032CD7"/>
    <w:rsid w:val="00035ABD"/>
    <w:rsid w:val="0003753F"/>
    <w:rsid w:val="000425CA"/>
    <w:rsid w:val="000445D4"/>
    <w:rsid w:val="0005379B"/>
    <w:rsid w:val="00055926"/>
    <w:rsid w:val="00056991"/>
    <w:rsid w:val="0006023D"/>
    <w:rsid w:val="00061C17"/>
    <w:rsid w:val="0006224E"/>
    <w:rsid w:val="000630D9"/>
    <w:rsid w:val="000708D9"/>
    <w:rsid w:val="0008079F"/>
    <w:rsid w:val="00082E61"/>
    <w:rsid w:val="00084388"/>
    <w:rsid w:val="00096444"/>
    <w:rsid w:val="000A6FD3"/>
    <w:rsid w:val="000B3A71"/>
    <w:rsid w:val="000C1879"/>
    <w:rsid w:val="000C4290"/>
    <w:rsid w:val="000C58C0"/>
    <w:rsid w:val="000C617F"/>
    <w:rsid w:val="000D48D2"/>
    <w:rsid w:val="000E0E0D"/>
    <w:rsid w:val="000E2481"/>
    <w:rsid w:val="000E7BE7"/>
    <w:rsid w:val="000F7331"/>
    <w:rsid w:val="001022AC"/>
    <w:rsid w:val="001026E8"/>
    <w:rsid w:val="001058D5"/>
    <w:rsid w:val="00107444"/>
    <w:rsid w:val="00114832"/>
    <w:rsid w:val="00117E4D"/>
    <w:rsid w:val="00126079"/>
    <w:rsid w:val="001264E6"/>
    <w:rsid w:val="00127DBD"/>
    <w:rsid w:val="00132CB8"/>
    <w:rsid w:val="001346A0"/>
    <w:rsid w:val="001357A4"/>
    <w:rsid w:val="00141C99"/>
    <w:rsid w:val="00141E86"/>
    <w:rsid w:val="0014231C"/>
    <w:rsid w:val="00145BCC"/>
    <w:rsid w:val="00147FF0"/>
    <w:rsid w:val="001503AF"/>
    <w:rsid w:val="00160F91"/>
    <w:rsid w:val="00163F41"/>
    <w:rsid w:val="001644DF"/>
    <w:rsid w:val="00164C76"/>
    <w:rsid w:val="0016712D"/>
    <w:rsid w:val="0017186B"/>
    <w:rsid w:val="0017278C"/>
    <w:rsid w:val="00174807"/>
    <w:rsid w:val="00187146"/>
    <w:rsid w:val="001873FC"/>
    <w:rsid w:val="001918F6"/>
    <w:rsid w:val="001A70D3"/>
    <w:rsid w:val="001B46E2"/>
    <w:rsid w:val="001B51CE"/>
    <w:rsid w:val="001D16B9"/>
    <w:rsid w:val="001D2879"/>
    <w:rsid w:val="001D3510"/>
    <w:rsid w:val="001D6A34"/>
    <w:rsid w:val="001E0A5C"/>
    <w:rsid w:val="001F4A3D"/>
    <w:rsid w:val="001F7227"/>
    <w:rsid w:val="0020306B"/>
    <w:rsid w:val="00205C5F"/>
    <w:rsid w:val="00231104"/>
    <w:rsid w:val="00232298"/>
    <w:rsid w:val="0023343D"/>
    <w:rsid w:val="00256E48"/>
    <w:rsid w:val="00256EA4"/>
    <w:rsid w:val="00271073"/>
    <w:rsid w:val="002764DB"/>
    <w:rsid w:val="00277524"/>
    <w:rsid w:val="00282ADF"/>
    <w:rsid w:val="00290F1D"/>
    <w:rsid w:val="00295CD0"/>
    <w:rsid w:val="002A305A"/>
    <w:rsid w:val="002A5125"/>
    <w:rsid w:val="002C2EC7"/>
    <w:rsid w:val="002C55E6"/>
    <w:rsid w:val="002C7044"/>
    <w:rsid w:val="002D0F2B"/>
    <w:rsid w:val="002D2BD2"/>
    <w:rsid w:val="002D3D46"/>
    <w:rsid w:val="002D43B3"/>
    <w:rsid w:val="002D6500"/>
    <w:rsid w:val="002E304C"/>
    <w:rsid w:val="0030077D"/>
    <w:rsid w:val="00301F15"/>
    <w:rsid w:val="003107B3"/>
    <w:rsid w:val="00311CE6"/>
    <w:rsid w:val="00316CFF"/>
    <w:rsid w:val="00322B0A"/>
    <w:rsid w:val="003301D7"/>
    <w:rsid w:val="003420EB"/>
    <w:rsid w:val="0034576D"/>
    <w:rsid w:val="00361A1E"/>
    <w:rsid w:val="003640C6"/>
    <w:rsid w:val="0036770C"/>
    <w:rsid w:val="00382EE6"/>
    <w:rsid w:val="00390B9F"/>
    <w:rsid w:val="003924BE"/>
    <w:rsid w:val="00394B76"/>
    <w:rsid w:val="003A32A9"/>
    <w:rsid w:val="003A35B2"/>
    <w:rsid w:val="003A5D3F"/>
    <w:rsid w:val="003B2069"/>
    <w:rsid w:val="003B29EE"/>
    <w:rsid w:val="003B58BF"/>
    <w:rsid w:val="003C35FE"/>
    <w:rsid w:val="003C406C"/>
    <w:rsid w:val="003C6537"/>
    <w:rsid w:val="003C71F2"/>
    <w:rsid w:val="003D4043"/>
    <w:rsid w:val="003E0459"/>
    <w:rsid w:val="003E2FCC"/>
    <w:rsid w:val="003E30D6"/>
    <w:rsid w:val="003E4C9A"/>
    <w:rsid w:val="003E68B2"/>
    <w:rsid w:val="003F0098"/>
    <w:rsid w:val="003F20F0"/>
    <w:rsid w:val="003F3273"/>
    <w:rsid w:val="00413AF0"/>
    <w:rsid w:val="00416D91"/>
    <w:rsid w:val="004172BB"/>
    <w:rsid w:val="00420F80"/>
    <w:rsid w:val="004259B8"/>
    <w:rsid w:val="004268C1"/>
    <w:rsid w:val="00435F1B"/>
    <w:rsid w:val="00455591"/>
    <w:rsid w:val="00461096"/>
    <w:rsid w:val="00472F6F"/>
    <w:rsid w:val="00482F24"/>
    <w:rsid w:val="0048456C"/>
    <w:rsid w:val="00496686"/>
    <w:rsid w:val="004A1675"/>
    <w:rsid w:val="004A5575"/>
    <w:rsid w:val="004A7A41"/>
    <w:rsid w:val="004B787E"/>
    <w:rsid w:val="004C1220"/>
    <w:rsid w:val="004C254D"/>
    <w:rsid w:val="004C558E"/>
    <w:rsid w:val="004C770E"/>
    <w:rsid w:val="004D6EF5"/>
    <w:rsid w:val="004E3F90"/>
    <w:rsid w:val="004F0328"/>
    <w:rsid w:val="004F0E0F"/>
    <w:rsid w:val="004F2923"/>
    <w:rsid w:val="00500ACB"/>
    <w:rsid w:val="00506207"/>
    <w:rsid w:val="00511508"/>
    <w:rsid w:val="00513FBC"/>
    <w:rsid w:val="00527BA5"/>
    <w:rsid w:val="0053222E"/>
    <w:rsid w:val="00540BF8"/>
    <w:rsid w:val="00547F26"/>
    <w:rsid w:val="00552D8E"/>
    <w:rsid w:val="00554CF5"/>
    <w:rsid w:val="005615F1"/>
    <w:rsid w:val="0056309F"/>
    <w:rsid w:val="005637F7"/>
    <w:rsid w:val="005705FC"/>
    <w:rsid w:val="00585C8E"/>
    <w:rsid w:val="00587800"/>
    <w:rsid w:val="0059162A"/>
    <w:rsid w:val="00597130"/>
    <w:rsid w:val="005A069E"/>
    <w:rsid w:val="005A4C84"/>
    <w:rsid w:val="005A584A"/>
    <w:rsid w:val="005B6429"/>
    <w:rsid w:val="005B72BB"/>
    <w:rsid w:val="005C0800"/>
    <w:rsid w:val="005C5178"/>
    <w:rsid w:val="005C6EE0"/>
    <w:rsid w:val="005D1953"/>
    <w:rsid w:val="005D44AC"/>
    <w:rsid w:val="005E1478"/>
    <w:rsid w:val="005E4650"/>
    <w:rsid w:val="005E4EA2"/>
    <w:rsid w:val="005E6B19"/>
    <w:rsid w:val="00604E85"/>
    <w:rsid w:val="00614EF5"/>
    <w:rsid w:val="00615358"/>
    <w:rsid w:val="00615F2C"/>
    <w:rsid w:val="006231D1"/>
    <w:rsid w:val="00636F64"/>
    <w:rsid w:val="00642932"/>
    <w:rsid w:val="006455E4"/>
    <w:rsid w:val="006518E5"/>
    <w:rsid w:val="00651A15"/>
    <w:rsid w:val="00654155"/>
    <w:rsid w:val="006548C1"/>
    <w:rsid w:val="0065733F"/>
    <w:rsid w:val="00661BE4"/>
    <w:rsid w:val="00664725"/>
    <w:rsid w:val="006668E7"/>
    <w:rsid w:val="00670870"/>
    <w:rsid w:val="00670A11"/>
    <w:rsid w:val="00671AC7"/>
    <w:rsid w:val="00673DE2"/>
    <w:rsid w:val="00682FE2"/>
    <w:rsid w:val="00683073"/>
    <w:rsid w:val="006875AB"/>
    <w:rsid w:val="0069100F"/>
    <w:rsid w:val="006A2326"/>
    <w:rsid w:val="006A6E66"/>
    <w:rsid w:val="006A7DD0"/>
    <w:rsid w:val="006C6201"/>
    <w:rsid w:val="006C6665"/>
    <w:rsid w:val="006C756F"/>
    <w:rsid w:val="006D1E73"/>
    <w:rsid w:val="006D63CE"/>
    <w:rsid w:val="006E3CCA"/>
    <w:rsid w:val="006E5639"/>
    <w:rsid w:val="007004E2"/>
    <w:rsid w:val="00705764"/>
    <w:rsid w:val="007126E9"/>
    <w:rsid w:val="00720340"/>
    <w:rsid w:val="00722620"/>
    <w:rsid w:val="007427E2"/>
    <w:rsid w:val="0075315F"/>
    <w:rsid w:val="007535F1"/>
    <w:rsid w:val="0075465F"/>
    <w:rsid w:val="0075723A"/>
    <w:rsid w:val="00764D14"/>
    <w:rsid w:val="00772FAD"/>
    <w:rsid w:val="0077341D"/>
    <w:rsid w:val="00773701"/>
    <w:rsid w:val="0079462F"/>
    <w:rsid w:val="007A1844"/>
    <w:rsid w:val="007A29E9"/>
    <w:rsid w:val="007A3978"/>
    <w:rsid w:val="007A3B60"/>
    <w:rsid w:val="007A544C"/>
    <w:rsid w:val="007A66E6"/>
    <w:rsid w:val="007B08CF"/>
    <w:rsid w:val="007B1B7E"/>
    <w:rsid w:val="007B4587"/>
    <w:rsid w:val="007B6D42"/>
    <w:rsid w:val="007C47EA"/>
    <w:rsid w:val="007C5484"/>
    <w:rsid w:val="007D5DA7"/>
    <w:rsid w:val="007E25D9"/>
    <w:rsid w:val="007F2E42"/>
    <w:rsid w:val="007F43AF"/>
    <w:rsid w:val="007F50D7"/>
    <w:rsid w:val="00805C61"/>
    <w:rsid w:val="00807746"/>
    <w:rsid w:val="00814254"/>
    <w:rsid w:val="00815DCB"/>
    <w:rsid w:val="008225DB"/>
    <w:rsid w:val="008248A6"/>
    <w:rsid w:val="00831694"/>
    <w:rsid w:val="00843769"/>
    <w:rsid w:val="0084778B"/>
    <w:rsid w:val="00850C39"/>
    <w:rsid w:val="008549F5"/>
    <w:rsid w:val="00855DF1"/>
    <w:rsid w:val="00857545"/>
    <w:rsid w:val="00861DAA"/>
    <w:rsid w:val="008627D7"/>
    <w:rsid w:val="00876B0A"/>
    <w:rsid w:val="00881378"/>
    <w:rsid w:val="00895D8F"/>
    <w:rsid w:val="008A2A31"/>
    <w:rsid w:val="008B4AA4"/>
    <w:rsid w:val="008C5DD2"/>
    <w:rsid w:val="008E5A8E"/>
    <w:rsid w:val="008F3693"/>
    <w:rsid w:val="00900395"/>
    <w:rsid w:val="00911DF4"/>
    <w:rsid w:val="00912BE2"/>
    <w:rsid w:val="009314B2"/>
    <w:rsid w:val="009412DC"/>
    <w:rsid w:val="009423BF"/>
    <w:rsid w:val="00946764"/>
    <w:rsid w:val="009470EE"/>
    <w:rsid w:val="00950492"/>
    <w:rsid w:val="009508DB"/>
    <w:rsid w:val="00951677"/>
    <w:rsid w:val="00953651"/>
    <w:rsid w:val="0096136A"/>
    <w:rsid w:val="0097360F"/>
    <w:rsid w:val="0097794D"/>
    <w:rsid w:val="009806F4"/>
    <w:rsid w:val="0099425E"/>
    <w:rsid w:val="00994D7C"/>
    <w:rsid w:val="009973A0"/>
    <w:rsid w:val="009A1445"/>
    <w:rsid w:val="009B059F"/>
    <w:rsid w:val="009B0931"/>
    <w:rsid w:val="009B1DAF"/>
    <w:rsid w:val="009C2B71"/>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3214"/>
    <w:rsid w:val="00A37FA4"/>
    <w:rsid w:val="00A407A0"/>
    <w:rsid w:val="00A449CE"/>
    <w:rsid w:val="00A45D41"/>
    <w:rsid w:val="00A5581E"/>
    <w:rsid w:val="00A575F8"/>
    <w:rsid w:val="00A630BC"/>
    <w:rsid w:val="00A64BD3"/>
    <w:rsid w:val="00A67AB0"/>
    <w:rsid w:val="00A7044E"/>
    <w:rsid w:val="00A731FE"/>
    <w:rsid w:val="00A73A8F"/>
    <w:rsid w:val="00A741FD"/>
    <w:rsid w:val="00A849F5"/>
    <w:rsid w:val="00A92EFF"/>
    <w:rsid w:val="00AB00C7"/>
    <w:rsid w:val="00AB3D72"/>
    <w:rsid w:val="00AB69A5"/>
    <w:rsid w:val="00AD5A52"/>
    <w:rsid w:val="00AD6787"/>
    <w:rsid w:val="00AE2330"/>
    <w:rsid w:val="00AE45F6"/>
    <w:rsid w:val="00AE489C"/>
    <w:rsid w:val="00AE6870"/>
    <w:rsid w:val="00AF53F6"/>
    <w:rsid w:val="00B12727"/>
    <w:rsid w:val="00B127F1"/>
    <w:rsid w:val="00B22E49"/>
    <w:rsid w:val="00B27603"/>
    <w:rsid w:val="00B33B1B"/>
    <w:rsid w:val="00B33E47"/>
    <w:rsid w:val="00B34AC8"/>
    <w:rsid w:val="00B3534A"/>
    <w:rsid w:val="00B3560D"/>
    <w:rsid w:val="00B41697"/>
    <w:rsid w:val="00B42148"/>
    <w:rsid w:val="00B45E2F"/>
    <w:rsid w:val="00B52F96"/>
    <w:rsid w:val="00B57830"/>
    <w:rsid w:val="00B604F8"/>
    <w:rsid w:val="00B66A8B"/>
    <w:rsid w:val="00B7440E"/>
    <w:rsid w:val="00B74A45"/>
    <w:rsid w:val="00B77BA6"/>
    <w:rsid w:val="00B803E8"/>
    <w:rsid w:val="00B82969"/>
    <w:rsid w:val="00B91E19"/>
    <w:rsid w:val="00BA345E"/>
    <w:rsid w:val="00BA3619"/>
    <w:rsid w:val="00BD2B4A"/>
    <w:rsid w:val="00BD5DC3"/>
    <w:rsid w:val="00BE53D7"/>
    <w:rsid w:val="00BE5E78"/>
    <w:rsid w:val="00BF5E23"/>
    <w:rsid w:val="00C01A78"/>
    <w:rsid w:val="00C04EC8"/>
    <w:rsid w:val="00C0630A"/>
    <w:rsid w:val="00C06B5E"/>
    <w:rsid w:val="00C07744"/>
    <w:rsid w:val="00C10325"/>
    <w:rsid w:val="00C122FB"/>
    <w:rsid w:val="00C1279E"/>
    <w:rsid w:val="00C17B49"/>
    <w:rsid w:val="00C4474C"/>
    <w:rsid w:val="00C46112"/>
    <w:rsid w:val="00C51228"/>
    <w:rsid w:val="00C62335"/>
    <w:rsid w:val="00C62F4A"/>
    <w:rsid w:val="00C63F9C"/>
    <w:rsid w:val="00C7113C"/>
    <w:rsid w:val="00C81B1E"/>
    <w:rsid w:val="00C91183"/>
    <w:rsid w:val="00C927E7"/>
    <w:rsid w:val="00C96790"/>
    <w:rsid w:val="00CA68C8"/>
    <w:rsid w:val="00CC2CBF"/>
    <w:rsid w:val="00CE04E6"/>
    <w:rsid w:val="00CE7951"/>
    <w:rsid w:val="00D13D42"/>
    <w:rsid w:val="00D16FFC"/>
    <w:rsid w:val="00D20D41"/>
    <w:rsid w:val="00D23B07"/>
    <w:rsid w:val="00D23F70"/>
    <w:rsid w:val="00D34B7D"/>
    <w:rsid w:val="00D375F8"/>
    <w:rsid w:val="00D43093"/>
    <w:rsid w:val="00D46008"/>
    <w:rsid w:val="00D47AA9"/>
    <w:rsid w:val="00D558AC"/>
    <w:rsid w:val="00D605AE"/>
    <w:rsid w:val="00D61C18"/>
    <w:rsid w:val="00D67DBB"/>
    <w:rsid w:val="00D768FD"/>
    <w:rsid w:val="00D77EC5"/>
    <w:rsid w:val="00D84846"/>
    <w:rsid w:val="00D87045"/>
    <w:rsid w:val="00D9379A"/>
    <w:rsid w:val="00D95E15"/>
    <w:rsid w:val="00D962C6"/>
    <w:rsid w:val="00DA1EAA"/>
    <w:rsid w:val="00DC059A"/>
    <w:rsid w:val="00DD08EC"/>
    <w:rsid w:val="00DD335F"/>
    <w:rsid w:val="00DE4D9F"/>
    <w:rsid w:val="00DE6EE9"/>
    <w:rsid w:val="00DE7C3C"/>
    <w:rsid w:val="00DF0DD8"/>
    <w:rsid w:val="00DF1495"/>
    <w:rsid w:val="00E00707"/>
    <w:rsid w:val="00E01D63"/>
    <w:rsid w:val="00E0448B"/>
    <w:rsid w:val="00E07A45"/>
    <w:rsid w:val="00E1125C"/>
    <w:rsid w:val="00E20424"/>
    <w:rsid w:val="00E310A1"/>
    <w:rsid w:val="00E40FED"/>
    <w:rsid w:val="00E67A71"/>
    <w:rsid w:val="00E73C01"/>
    <w:rsid w:val="00E7538C"/>
    <w:rsid w:val="00E81129"/>
    <w:rsid w:val="00E82260"/>
    <w:rsid w:val="00E92AE9"/>
    <w:rsid w:val="00E94834"/>
    <w:rsid w:val="00E964DB"/>
    <w:rsid w:val="00E97089"/>
    <w:rsid w:val="00EA41DB"/>
    <w:rsid w:val="00EB2D7D"/>
    <w:rsid w:val="00EB56C7"/>
    <w:rsid w:val="00EB77B4"/>
    <w:rsid w:val="00ED0C97"/>
    <w:rsid w:val="00EE6C8B"/>
    <w:rsid w:val="00EF01F0"/>
    <w:rsid w:val="00EF41BF"/>
    <w:rsid w:val="00EF63E1"/>
    <w:rsid w:val="00EF6752"/>
    <w:rsid w:val="00EF6BF2"/>
    <w:rsid w:val="00F00114"/>
    <w:rsid w:val="00F02402"/>
    <w:rsid w:val="00F07FD1"/>
    <w:rsid w:val="00F11C6E"/>
    <w:rsid w:val="00F15488"/>
    <w:rsid w:val="00F15692"/>
    <w:rsid w:val="00F157C0"/>
    <w:rsid w:val="00F1656A"/>
    <w:rsid w:val="00F21178"/>
    <w:rsid w:val="00F2485B"/>
    <w:rsid w:val="00F30B34"/>
    <w:rsid w:val="00F31C7A"/>
    <w:rsid w:val="00F323FC"/>
    <w:rsid w:val="00F36E9A"/>
    <w:rsid w:val="00F37DD7"/>
    <w:rsid w:val="00F4265E"/>
    <w:rsid w:val="00F45500"/>
    <w:rsid w:val="00F52E42"/>
    <w:rsid w:val="00F5754A"/>
    <w:rsid w:val="00F61C63"/>
    <w:rsid w:val="00F75588"/>
    <w:rsid w:val="00F77EF9"/>
    <w:rsid w:val="00F921BF"/>
    <w:rsid w:val="00FA0785"/>
    <w:rsid w:val="00FA089F"/>
    <w:rsid w:val="00FA4C7F"/>
    <w:rsid w:val="00FA4DC6"/>
    <w:rsid w:val="00FA6915"/>
    <w:rsid w:val="00FB0E5C"/>
    <w:rsid w:val="00FB283B"/>
    <w:rsid w:val="00FB7363"/>
    <w:rsid w:val="00FC55E8"/>
    <w:rsid w:val="00FC6B8D"/>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8E5D6"/>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30B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Heading2Char">
    <w:name w:val="Heading 2 Char"/>
    <w:basedOn w:val="DefaultParagraphFont"/>
    <w:link w:val="Heading2"/>
    <w:uiPriority w:val="9"/>
    <w:rsid w:val="00F30B3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615358"/>
    <w:rPr>
      <w:color w:val="800080" w:themeColor="followedHyperlink"/>
      <w:u w:val="single"/>
    </w:rPr>
  </w:style>
  <w:style w:type="character" w:customStyle="1" w:styleId="UnresolvedMention1">
    <w:name w:val="Unresolved Mention1"/>
    <w:basedOn w:val="DefaultParagraphFont"/>
    <w:uiPriority w:val="99"/>
    <w:semiHidden/>
    <w:unhideWhenUsed/>
    <w:rsid w:val="00461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009678348">
      <w:bodyDiv w:val="1"/>
      <w:marLeft w:val="0"/>
      <w:marRight w:val="0"/>
      <w:marTop w:val="0"/>
      <w:marBottom w:val="0"/>
      <w:divBdr>
        <w:top w:val="none" w:sz="0" w:space="0" w:color="auto"/>
        <w:left w:val="none" w:sz="0" w:space="0" w:color="auto"/>
        <w:bottom w:val="none" w:sz="0" w:space="0" w:color="auto"/>
        <w:right w:val="none" w:sz="0" w:space="0" w:color="auto"/>
      </w:divBdr>
    </w:div>
    <w:div w:id="1867475544">
      <w:bodyDiv w:val="1"/>
      <w:marLeft w:val="0"/>
      <w:marRight w:val="0"/>
      <w:marTop w:val="0"/>
      <w:marBottom w:val="0"/>
      <w:divBdr>
        <w:top w:val="none" w:sz="0" w:space="0" w:color="auto"/>
        <w:left w:val="none" w:sz="0" w:space="0" w:color="auto"/>
        <w:bottom w:val="none" w:sz="0" w:space="0" w:color="auto"/>
        <w:right w:val="none" w:sz="0" w:space="0" w:color="auto"/>
      </w:divBdr>
    </w:div>
    <w:div w:id="194380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bea.gov/sites/default/files/2021-09/qgdpstate1021.pdf" TargetMode="External"/><Relationship Id="rId18" Type="http://schemas.openxmlformats.org/officeDocument/2006/relationships/hyperlink" Target="https://www.nasbo.org/reports-data/state-expenditure-repor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yperlink" Target="https://nces.ed.gov/programs/digest/d21/tables/dt21_236.65.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ensus.gov/programs-surveys/school-finances.html"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ensus.gov/data/tables/2019/econ/school-finances/secondary-education-finance.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garet@iowaschoolfinance.com" TargetMode="External"/><Relationship Id="rId1" Type="http://schemas.openxmlformats.org/officeDocument/2006/relationships/hyperlink" Target="http://www.uen-ia.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argaret@iowaschoolfinance.com" TargetMode="External"/><Relationship Id="rId1" Type="http://schemas.openxmlformats.org/officeDocument/2006/relationships/hyperlink" Target="http://www.uen-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argaret\Desktop\Education%20Coalition\Allowable%20GROWTH%20History%201972.73%20to%202022-23.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garet\Desktop\Education%20Coalition\NASBO%20state%20expenditure%20repor%20201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Iowa State Cost Per Pupil</a:t>
            </a:r>
            <a:r>
              <a:rPr lang="en-US" sz="1600" baseline="0"/>
              <a:t> Funding </a:t>
            </a:r>
            <a:r>
              <a:rPr lang="en-US" sz="1600"/>
              <a:t>History</a:t>
            </a:r>
          </a:p>
        </c:rich>
      </c:tx>
      <c:layout>
        <c:manualLayout>
          <c:xMode val="edge"/>
          <c:yMode val="edge"/>
          <c:x val="0.20017921146953402"/>
          <c:y val="1.3158125520706093E-2"/>
        </c:manualLayout>
      </c:layout>
      <c:overlay val="0"/>
    </c:title>
    <c:autoTitleDeleted val="0"/>
    <c:plotArea>
      <c:layout>
        <c:manualLayout>
          <c:layoutTarget val="inner"/>
          <c:xMode val="edge"/>
          <c:yMode val="edge"/>
          <c:x val="9.2027946224525939E-2"/>
          <c:y val="0.11521067234435077"/>
          <c:w val="0.89045516308922135"/>
          <c:h val="0.74379397316540075"/>
        </c:manualLayout>
      </c:layout>
      <c:lineChart>
        <c:grouping val="standard"/>
        <c:varyColors val="0"/>
        <c:ser>
          <c:idx val="0"/>
          <c:order val="0"/>
          <c:dPt>
            <c:idx val="25"/>
            <c:marker>
              <c:spPr>
                <a:solidFill>
                  <a:schemeClr val="accent1">
                    <a:lumMod val="75000"/>
                  </a:schemeClr>
                </a:solidFill>
                <a:ln>
                  <a:solidFill>
                    <a:srgbClr val="0070C0"/>
                  </a:solidFill>
                </a:ln>
              </c:spPr>
            </c:marker>
            <c:bubble3D val="0"/>
            <c:extLst>
              <c:ext xmlns:c16="http://schemas.microsoft.com/office/drawing/2014/chart" uri="{C3380CC4-5D6E-409C-BE32-E72D297353CC}">
                <c16:uniqueId val="{00000000-CD13-4A9B-B857-7762F5870B29}"/>
              </c:ext>
            </c:extLst>
          </c:dPt>
          <c:trendline>
            <c:trendlineType val="linear"/>
            <c:dispRSqr val="0"/>
            <c:dispEq val="0"/>
          </c:trendline>
          <c:cat>
            <c:strRef>
              <c:f>Sheet1!$A$3:$A$53</c:f>
              <c:strCache>
                <c:ptCount val="51"/>
                <c:pt idx="0">
                  <c:v>72/73</c:v>
                </c:pt>
                <c:pt idx="1">
                  <c:v>73/74</c:v>
                </c:pt>
                <c:pt idx="2">
                  <c:v>74/75</c:v>
                </c:pt>
                <c:pt idx="3">
                  <c:v>75/76</c:v>
                </c:pt>
                <c:pt idx="4">
                  <c:v>76/77</c:v>
                </c:pt>
                <c:pt idx="5">
                  <c:v>77/78</c:v>
                </c:pt>
                <c:pt idx="6">
                  <c:v>78/79</c:v>
                </c:pt>
                <c:pt idx="7">
                  <c:v>79/80</c:v>
                </c:pt>
                <c:pt idx="8">
                  <c:v>80/81</c:v>
                </c:pt>
                <c:pt idx="9">
                  <c:v>81/82</c:v>
                </c:pt>
                <c:pt idx="10">
                  <c:v>82/83</c:v>
                </c:pt>
                <c:pt idx="11">
                  <c:v>83/84</c:v>
                </c:pt>
                <c:pt idx="12">
                  <c:v>84/85</c:v>
                </c:pt>
                <c:pt idx="13">
                  <c:v>85/86</c:v>
                </c:pt>
                <c:pt idx="14">
                  <c:v>86/87</c:v>
                </c:pt>
                <c:pt idx="15">
                  <c:v>87/88</c:v>
                </c:pt>
                <c:pt idx="16">
                  <c:v>88/89</c:v>
                </c:pt>
                <c:pt idx="17">
                  <c:v>89/90</c:v>
                </c:pt>
                <c:pt idx="18">
                  <c:v>90/91</c:v>
                </c:pt>
                <c:pt idx="19">
                  <c:v>91/92</c:v>
                </c:pt>
                <c:pt idx="20">
                  <c:v>92/93</c:v>
                </c:pt>
                <c:pt idx="21">
                  <c:v>93/94</c:v>
                </c:pt>
                <c:pt idx="22">
                  <c:v>94/95</c:v>
                </c:pt>
                <c:pt idx="23">
                  <c:v>95/96</c:v>
                </c:pt>
                <c:pt idx="24">
                  <c:v>96/97</c:v>
                </c:pt>
                <c:pt idx="25">
                  <c:v>97/98</c:v>
                </c:pt>
                <c:pt idx="26">
                  <c:v>98/99</c:v>
                </c:pt>
                <c:pt idx="27">
                  <c:v>99/00</c:v>
                </c:pt>
                <c:pt idx="28">
                  <c:v>00/01</c:v>
                </c:pt>
                <c:pt idx="29">
                  <c:v>01/02</c:v>
                </c:pt>
                <c:pt idx="30">
                  <c:v>02/03</c:v>
                </c:pt>
                <c:pt idx="31">
                  <c:v>03/04</c:v>
                </c:pt>
                <c:pt idx="32">
                  <c:v>04/05</c:v>
                </c:pt>
                <c:pt idx="33">
                  <c:v>05/06</c:v>
                </c:pt>
                <c:pt idx="34">
                  <c:v>06/07</c:v>
                </c:pt>
                <c:pt idx="35">
                  <c:v>07/08</c:v>
                </c:pt>
                <c:pt idx="36">
                  <c:v>08/09</c:v>
                </c:pt>
                <c:pt idx="37">
                  <c:v>09/10</c:v>
                </c:pt>
                <c:pt idx="38">
                  <c:v>10/11</c:v>
                </c:pt>
                <c:pt idx="39">
                  <c:v>11/12</c:v>
                </c:pt>
                <c:pt idx="40">
                  <c:v>12/13</c:v>
                </c:pt>
                <c:pt idx="41">
                  <c:v>13/14</c:v>
                </c:pt>
                <c:pt idx="42">
                  <c:v>14/15</c:v>
                </c:pt>
                <c:pt idx="43">
                  <c:v>15/16</c:v>
                </c:pt>
                <c:pt idx="44">
                  <c:v>16/17</c:v>
                </c:pt>
                <c:pt idx="45">
                  <c:v>17/18</c:v>
                </c:pt>
                <c:pt idx="46">
                  <c:v>18/19</c:v>
                </c:pt>
                <c:pt idx="47">
                  <c:v>19/20</c:v>
                </c:pt>
                <c:pt idx="48">
                  <c:v>20/21</c:v>
                </c:pt>
                <c:pt idx="49">
                  <c:v>21/22</c:v>
                </c:pt>
                <c:pt idx="50">
                  <c:v>22/23</c:v>
                </c:pt>
              </c:strCache>
            </c:strRef>
          </c:cat>
          <c:val>
            <c:numRef>
              <c:f>Sheet1!$B$3:$B$53</c:f>
              <c:numCache>
                <c:formatCode>.00000</c:formatCode>
                <c:ptCount val="51"/>
                <c:pt idx="0">
                  <c:v>4.9279999999999997E-2</c:v>
                </c:pt>
                <c:pt idx="1">
                  <c:v>0.05</c:v>
                </c:pt>
                <c:pt idx="2">
                  <c:v>0.08</c:v>
                </c:pt>
                <c:pt idx="3">
                  <c:v>0.107</c:v>
                </c:pt>
                <c:pt idx="4">
                  <c:v>9.8250000000000004E-2</c:v>
                </c:pt>
                <c:pt idx="5">
                  <c:v>7.8399999999999997E-2</c:v>
                </c:pt>
                <c:pt idx="6">
                  <c:v>9.4219999999999998E-2</c:v>
                </c:pt>
                <c:pt idx="7">
                  <c:v>9.4839999999999994E-2</c:v>
                </c:pt>
                <c:pt idx="8">
                  <c:v>0.13592000000000001</c:v>
                </c:pt>
                <c:pt idx="9">
                  <c:v>0.05</c:v>
                </c:pt>
                <c:pt idx="10">
                  <c:v>7.0000000000000007E-2</c:v>
                </c:pt>
                <c:pt idx="11">
                  <c:v>6.1030000000000001E-2</c:v>
                </c:pt>
                <c:pt idx="12">
                  <c:v>2.5399999999999999E-2</c:v>
                </c:pt>
                <c:pt idx="13">
                  <c:v>5.3249999999999999E-2</c:v>
                </c:pt>
                <c:pt idx="14">
                  <c:v>3.8429999999999999E-2</c:v>
                </c:pt>
                <c:pt idx="15">
                  <c:v>3.4689999999999999E-2</c:v>
                </c:pt>
                <c:pt idx="16">
                  <c:v>3.5920000000000001E-2</c:v>
                </c:pt>
                <c:pt idx="17">
                  <c:v>3.5340000000000003E-2</c:v>
                </c:pt>
                <c:pt idx="18">
                  <c:v>7.1819999999999995E-2</c:v>
                </c:pt>
                <c:pt idx="19">
                  <c:v>4.2110000000000002E-2</c:v>
                </c:pt>
                <c:pt idx="20">
                  <c:v>4.1509999999999998E-2</c:v>
                </c:pt>
                <c:pt idx="21">
                  <c:v>2.1000000000000001E-2</c:v>
                </c:pt>
                <c:pt idx="22">
                  <c:v>2.8500000000000001E-2</c:v>
                </c:pt>
                <c:pt idx="23">
                  <c:v>3.5000000000000003E-2</c:v>
                </c:pt>
                <c:pt idx="24">
                  <c:v>3.3000000000000002E-2</c:v>
                </c:pt>
                <c:pt idx="25">
                  <c:v>3.5000000000000003E-2</c:v>
                </c:pt>
                <c:pt idx="26">
                  <c:v>3.5000000000000003E-2</c:v>
                </c:pt>
                <c:pt idx="27">
                  <c:v>0.03</c:v>
                </c:pt>
                <c:pt idx="28">
                  <c:v>0.04</c:v>
                </c:pt>
                <c:pt idx="29">
                  <c:v>0.04</c:v>
                </c:pt>
                <c:pt idx="30">
                  <c:v>0.01</c:v>
                </c:pt>
                <c:pt idx="31">
                  <c:v>0.02</c:v>
                </c:pt>
                <c:pt idx="32">
                  <c:v>0.02</c:v>
                </c:pt>
                <c:pt idx="33">
                  <c:v>0.04</c:v>
                </c:pt>
                <c:pt idx="34">
                  <c:v>0.04</c:v>
                </c:pt>
                <c:pt idx="35">
                  <c:v>0.04</c:v>
                </c:pt>
                <c:pt idx="36">
                  <c:v>0.04</c:v>
                </c:pt>
                <c:pt idx="37">
                  <c:v>0.04</c:v>
                </c:pt>
                <c:pt idx="38">
                  <c:v>0.02</c:v>
                </c:pt>
                <c:pt idx="39">
                  <c:v>0</c:v>
                </c:pt>
                <c:pt idx="40">
                  <c:v>0.02</c:v>
                </c:pt>
                <c:pt idx="41">
                  <c:v>0.02</c:v>
                </c:pt>
                <c:pt idx="42">
                  <c:v>0.04</c:v>
                </c:pt>
                <c:pt idx="43">
                  <c:v>1.2500000000000001E-2</c:v>
                </c:pt>
                <c:pt idx="44">
                  <c:v>2.2499999999999999E-2</c:v>
                </c:pt>
                <c:pt idx="45">
                  <c:v>1.11E-2</c:v>
                </c:pt>
                <c:pt idx="46">
                  <c:v>0.01</c:v>
                </c:pt>
                <c:pt idx="47">
                  <c:v>2.06E-2</c:v>
                </c:pt>
                <c:pt idx="48">
                  <c:v>2.3E-2</c:v>
                </c:pt>
                <c:pt idx="49">
                  <c:v>2.4E-2</c:v>
                </c:pt>
                <c:pt idx="50">
                  <c:v>2.5000000000000001E-2</c:v>
                </c:pt>
              </c:numCache>
            </c:numRef>
          </c:val>
          <c:smooth val="0"/>
          <c:extLst>
            <c:ext xmlns:c16="http://schemas.microsoft.com/office/drawing/2014/chart" uri="{C3380CC4-5D6E-409C-BE32-E72D297353CC}">
              <c16:uniqueId val="{00000002-CD13-4A9B-B857-7762F5870B29}"/>
            </c:ext>
          </c:extLst>
        </c:ser>
        <c:dLbls>
          <c:showLegendKey val="0"/>
          <c:showVal val="0"/>
          <c:showCatName val="0"/>
          <c:showSerName val="0"/>
          <c:showPercent val="0"/>
          <c:showBubbleSize val="0"/>
        </c:dLbls>
        <c:marker val="1"/>
        <c:smooth val="0"/>
        <c:axId val="447579600"/>
        <c:axId val="1"/>
      </c:lineChart>
      <c:catAx>
        <c:axId val="447579600"/>
        <c:scaling>
          <c:orientation val="minMax"/>
        </c:scaling>
        <c:delete val="0"/>
        <c:axPos val="b"/>
        <c:numFmt formatCode="General" sourceLinked="1"/>
        <c:majorTickMark val="none"/>
        <c:minorTickMark val="none"/>
        <c:tickLblPos val="nextTo"/>
        <c:txPr>
          <a:bodyPr/>
          <a:lstStyle/>
          <a:p>
            <a:pPr>
              <a:defRPr sz="1000" baseline="0"/>
            </a:pPr>
            <a:endParaRPr lang="en-US"/>
          </a:p>
        </c:txPr>
        <c:crossAx val="1"/>
        <c:crosses val="autoZero"/>
        <c:auto val="1"/>
        <c:lblAlgn val="ctr"/>
        <c:lblOffset val="100"/>
        <c:noMultiLvlLbl val="0"/>
      </c:catAx>
      <c:valAx>
        <c:axId val="1"/>
        <c:scaling>
          <c:orientation val="minMax"/>
          <c:max val="0.16000000000000003"/>
          <c:min val="0"/>
        </c:scaling>
        <c:delete val="0"/>
        <c:axPos val="l"/>
        <c:majorGridlines/>
        <c:title>
          <c:tx>
            <c:rich>
              <a:bodyPr/>
              <a:lstStyle/>
              <a:p>
                <a:pPr>
                  <a:defRPr sz="900"/>
                </a:pPr>
                <a:r>
                  <a:rPr lang="en-US" sz="900"/>
                  <a:t>Percent Increase in State Cost Per Pupil </a:t>
                </a:r>
              </a:p>
            </c:rich>
          </c:tx>
          <c:overlay val="0"/>
        </c:title>
        <c:numFmt formatCode="0%" sourceLinked="0"/>
        <c:majorTickMark val="none"/>
        <c:minorTickMark val="none"/>
        <c:tickLblPos val="nextTo"/>
        <c:txPr>
          <a:bodyPr/>
          <a:lstStyle/>
          <a:p>
            <a:pPr>
              <a:defRPr sz="800" baseline="0"/>
            </a:pPr>
            <a:endParaRPr lang="en-US"/>
          </a:p>
        </c:txPr>
        <c:crossAx val="447579600"/>
        <c:crosses val="autoZero"/>
        <c:crossBetween val="between"/>
      </c:valAx>
      <c:spPr>
        <a:solidFill>
          <a:srgbClr val="FFFF99"/>
        </a:solidFill>
      </c:spPr>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1000"/>
              <a:t>Elementary and Secondary Expenditures </a:t>
            </a:r>
          </a:p>
          <a:p>
            <a:pPr>
              <a:defRPr sz="800"/>
            </a:pPr>
            <a:r>
              <a:rPr lang="en-US" sz="1000"/>
              <a:t>as a Percent of Total Expenditures</a:t>
            </a:r>
          </a:p>
          <a:p>
            <a:pPr>
              <a:defRPr sz="800"/>
            </a:pPr>
            <a:r>
              <a:rPr lang="en-US" sz="1000"/>
              <a:t>Plains</a:t>
            </a:r>
            <a:r>
              <a:rPr lang="en-US" sz="1000" baseline="0"/>
              <a:t> States and USA Average</a:t>
            </a:r>
            <a:endParaRPr lang="en-US" sz="1000"/>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580927384076991E-2"/>
          <c:y val="0.2437037037037037"/>
          <c:w val="0.90286351706036749"/>
          <c:h val="0.5429935841353164"/>
        </c:manualLayout>
      </c:layout>
      <c:barChart>
        <c:barDir val="col"/>
        <c:grouping val="clustered"/>
        <c:varyColors val="0"/>
        <c:ser>
          <c:idx val="1"/>
          <c:order val="0"/>
          <c:tx>
            <c:strRef>
              <c:f>Sheet1!$C$2</c:f>
              <c:strCache>
                <c:ptCount val="1"/>
                <c:pt idx="0">
                  <c:v>FY17</c:v>
                </c:pt>
              </c:strCache>
            </c:strRef>
          </c:tx>
          <c:spPr>
            <a:pattFill prst="lgCheck">
              <a:fgClr>
                <a:srgbClr val="FF0000"/>
              </a:fgClr>
              <a:bgClr>
                <a:schemeClr val="bg1"/>
              </a:bgClr>
            </a:pattFill>
            <a:ln>
              <a:noFill/>
            </a:ln>
            <a:effectLst/>
          </c:spPr>
          <c:invertIfNegative val="0"/>
          <c:cat>
            <c:strRef>
              <c:f>Sheet1!$A$3:$A$10</c:f>
              <c:strCache>
                <c:ptCount val="8"/>
                <c:pt idx="0">
                  <c:v>NE</c:v>
                </c:pt>
                <c:pt idx="1">
                  <c:v>SD</c:v>
                </c:pt>
                <c:pt idx="2">
                  <c:v>ND</c:v>
                </c:pt>
                <c:pt idx="3">
                  <c:v>IA</c:v>
                </c:pt>
                <c:pt idx="4">
                  <c:v>USA AVG</c:v>
                </c:pt>
                <c:pt idx="5">
                  <c:v>MO</c:v>
                </c:pt>
                <c:pt idx="6">
                  <c:v>MN</c:v>
                </c:pt>
                <c:pt idx="7">
                  <c:v>KS</c:v>
                </c:pt>
              </c:strCache>
            </c:strRef>
          </c:cat>
          <c:val>
            <c:numRef>
              <c:f>Sheet1!$C$3:$C$10</c:f>
              <c:numCache>
                <c:formatCode>General</c:formatCode>
                <c:ptCount val="8"/>
                <c:pt idx="0">
                  <c:v>13.9</c:v>
                </c:pt>
                <c:pt idx="1">
                  <c:v>16.5</c:v>
                </c:pt>
                <c:pt idx="2">
                  <c:v>17.5</c:v>
                </c:pt>
                <c:pt idx="3">
                  <c:v>16.600000000000001</c:v>
                </c:pt>
                <c:pt idx="4">
                  <c:v>19.600000000000001</c:v>
                </c:pt>
                <c:pt idx="5">
                  <c:v>22.8</c:v>
                </c:pt>
                <c:pt idx="6">
                  <c:v>26</c:v>
                </c:pt>
                <c:pt idx="7">
                  <c:v>29.5</c:v>
                </c:pt>
              </c:numCache>
            </c:numRef>
          </c:val>
          <c:extLst>
            <c:ext xmlns:c16="http://schemas.microsoft.com/office/drawing/2014/chart" uri="{C3380CC4-5D6E-409C-BE32-E72D297353CC}">
              <c16:uniqueId val="{00000000-66D2-4C47-84FC-FE99F780C5ED}"/>
            </c:ext>
          </c:extLst>
        </c:ser>
        <c:ser>
          <c:idx val="2"/>
          <c:order val="1"/>
          <c:tx>
            <c:strRef>
              <c:f>Sheet1!$D$2</c:f>
              <c:strCache>
                <c:ptCount val="1"/>
                <c:pt idx="0">
                  <c:v>FY18</c:v>
                </c:pt>
              </c:strCache>
            </c:strRef>
          </c:tx>
          <c:spPr>
            <a:pattFill prst="pct90">
              <a:fgClr>
                <a:schemeClr val="tx1"/>
              </a:fgClr>
              <a:bgClr>
                <a:schemeClr val="bg1"/>
              </a:bgClr>
            </a:pattFill>
            <a:ln>
              <a:noFill/>
            </a:ln>
            <a:effectLst/>
          </c:spPr>
          <c:invertIfNegative val="0"/>
          <c:cat>
            <c:strRef>
              <c:f>Sheet1!$A$3:$A$10</c:f>
              <c:strCache>
                <c:ptCount val="8"/>
                <c:pt idx="0">
                  <c:v>NE</c:v>
                </c:pt>
                <c:pt idx="1">
                  <c:v>SD</c:v>
                </c:pt>
                <c:pt idx="2">
                  <c:v>ND</c:v>
                </c:pt>
                <c:pt idx="3">
                  <c:v>IA</c:v>
                </c:pt>
                <c:pt idx="4">
                  <c:v>USA AVG</c:v>
                </c:pt>
                <c:pt idx="5">
                  <c:v>MO</c:v>
                </c:pt>
                <c:pt idx="6">
                  <c:v>MN</c:v>
                </c:pt>
                <c:pt idx="7">
                  <c:v>KS</c:v>
                </c:pt>
              </c:strCache>
            </c:strRef>
          </c:cat>
          <c:val>
            <c:numRef>
              <c:f>Sheet1!$D$3:$D$10</c:f>
              <c:numCache>
                <c:formatCode>General</c:formatCode>
                <c:ptCount val="8"/>
                <c:pt idx="0">
                  <c:v>13.9</c:v>
                </c:pt>
                <c:pt idx="1">
                  <c:v>16.399999999999999</c:v>
                </c:pt>
                <c:pt idx="2">
                  <c:v>19.100000000000001</c:v>
                </c:pt>
                <c:pt idx="3">
                  <c:v>16.899999999999999</c:v>
                </c:pt>
                <c:pt idx="4">
                  <c:v>19.7</c:v>
                </c:pt>
                <c:pt idx="5">
                  <c:v>22.5</c:v>
                </c:pt>
                <c:pt idx="6">
                  <c:v>24.6</c:v>
                </c:pt>
                <c:pt idx="7">
                  <c:v>30.4</c:v>
                </c:pt>
              </c:numCache>
            </c:numRef>
          </c:val>
          <c:extLst>
            <c:ext xmlns:c16="http://schemas.microsoft.com/office/drawing/2014/chart" uri="{C3380CC4-5D6E-409C-BE32-E72D297353CC}">
              <c16:uniqueId val="{00000001-66D2-4C47-84FC-FE99F780C5ED}"/>
            </c:ext>
          </c:extLst>
        </c:ser>
        <c:ser>
          <c:idx val="3"/>
          <c:order val="2"/>
          <c:tx>
            <c:strRef>
              <c:f>Sheet1!$E$2</c:f>
              <c:strCache>
                <c:ptCount val="1"/>
                <c:pt idx="0">
                  <c:v>FY19</c:v>
                </c:pt>
              </c:strCache>
            </c:strRef>
          </c:tx>
          <c:spPr>
            <a:solidFill>
              <a:srgbClr val="00B050"/>
            </a:solidFill>
            <a:ln>
              <a:noFill/>
            </a:ln>
            <a:effectLst/>
          </c:spPr>
          <c:invertIfNegative val="0"/>
          <c:cat>
            <c:strRef>
              <c:f>Sheet1!$A$3:$A$10</c:f>
              <c:strCache>
                <c:ptCount val="8"/>
                <c:pt idx="0">
                  <c:v>NE</c:v>
                </c:pt>
                <c:pt idx="1">
                  <c:v>SD</c:v>
                </c:pt>
                <c:pt idx="2">
                  <c:v>ND</c:v>
                </c:pt>
                <c:pt idx="3">
                  <c:v>IA</c:v>
                </c:pt>
                <c:pt idx="4">
                  <c:v>USA AVG</c:v>
                </c:pt>
                <c:pt idx="5">
                  <c:v>MO</c:v>
                </c:pt>
                <c:pt idx="6">
                  <c:v>MN</c:v>
                </c:pt>
                <c:pt idx="7">
                  <c:v>KS</c:v>
                </c:pt>
              </c:strCache>
            </c:strRef>
          </c:cat>
          <c:val>
            <c:numRef>
              <c:f>Sheet1!$E$3:$E$10</c:f>
              <c:numCache>
                <c:formatCode>General</c:formatCode>
                <c:ptCount val="8"/>
                <c:pt idx="0">
                  <c:v>13.7</c:v>
                </c:pt>
                <c:pt idx="1">
                  <c:v>16.3</c:v>
                </c:pt>
                <c:pt idx="2">
                  <c:v>18.8</c:v>
                </c:pt>
                <c:pt idx="3">
                  <c:v>16.5</c:v>
                </c:pt>
                <c:pt idx="4">
                  <c:v>19.7</c:v>
                </c:pt>
                <c:pt idx="5">
                  <c:v>22.6</c:v>
                </c:pt>
                <c:pt idx="6">
                  <c:v>24.9</c:v>
                </c:pt>
                <c:pt idx="7">
                  <c:v>29.6</c:v>
                </c:pt>
              </c:numCache>
            </c:numRef>
          </c:val>
          <c:extLst>
            <c:ext xmlns:c16="http://schemas.microsoft.com/office/drawing/2014/chart" uri="{C3380CC4-5D6E-409C-BE32-E72D297353CC}">
              <c16:uniqueId val="{00000002-66D2-4C47-84FC-FE99F780C5ED}"/>
            </c:ext>
          </c:extLst>
        </c:ser>
        <c:ser>
          <c:idx val="4"/>
          <c:order val="3"/>
          <c:tx>
            <c:strRef>
              <c:f>Sheet1!$F$2</c:f>
              <c:strCache>
                <c:ptCount val="1"/>
                <c:pt idx="0">
                  <c:v>FY20</c:v>
                </c:pt>
              </c:strCache>
            </c:strRef>
          </c:tx>
          <c:spPr>
            <a:solidFill>
              <a:schemeClr val="accent5"/>
            </a:solidFill>
            <a:ln>
              <a:noFill/>
            </a:ln>
            <a:effectLst/>
          </c:spPr>
          <c:invertIfNegative val="0"/>
          <c:cat>
            <c:strRef>
              <c:f>Sheet1!$A$3:$A$10</c:f>
              <c:strCache>
                <c:ptCount val="8"/>
                <c:pt idx="0">
                  <c:v>NE</c:v>
                </c:pt>
                <c:pt idx="1">
                  <c:v>SD</c:v>
                </c:pt>
                <c:pt idx="2">
                  <c:v>ND</c:v>
                </c:pt>
                <c:pt idx="3">
                  <c:v>IA</c:v>
                </c:pt>
                <c:pt idx="4">
                  <c:v>USA AVG</c:v>
                </c:pt>
                <c:pt idx="5">
                  <c:v>MO</c:v>
                </c:pt>
                <c:pt idx="6">
                  <c:v>MN</c:v>
                </c:pt>
                <c:pt idx="7">
                  <c:v>KS</c:v>
                </c:pt>
              </c:strCache>
            </c:strRef>
          </c:cat>
          <c:val>
            <c:numRef>
              <c:f>Sheet1!$F$3:$F$10</c:f>
              <c:numCache>
                <c:formatCode>General</c:formatCode>
                <c:ptCount val="8"/>
                <c:pt idx="0">
                  <c:v>13.5</c:v>
                </c:pt>
                <c:pt idx="1">
                  <c:v>15.5</c:v>
                </c:pt>
                <c:pt idx="2">
                  <c:v>17.399999999999999</c:v>
                </c:pt>
                <c:pt idx="3">
                  <c:v>16.899999999999999</c:v>
                </c:pt>
                <c:pt idx="4">
                  <c:v>19</c:v>
                </c:pt>
                <c:pt idx="5">
                  <c:v>21.6</c:v>
                </c:pt>
                <c:pt idx="6">
                  <c:v>24.4</c:v>
                </c:pt>
                <c:pt idx="7">
                  <c:v>29.7</c:v>
                </c:pt>
              </c:numCache>
            </c:numRef>
          </c:val>
          <c:extLst>
            <c:ext xmlns:c16="http://schemas.microsoft.com/office/drawing/2014/chart" uri="{C3380CC4-5D6E-409C-BE32-E72D297353CC}">
              <c16:uniqueId val="{00000003-66D2-4C47-84FC-FE99F780C5ED}"/>
            </c:ext>
          </c:extLst>
        </c:ser>
        <c:ser>
          <c:idx val="0"/>
          <c:order val="4"/>
          <c:tx>
            <c:strRef>
              <c:f>Sheet1!$G$2</c:f>
              <c:strCache>
                <c:ptCount val="1"/>
                <c:pt idx="0">
                  <c:v>FY 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Sheet1!$A$3:$A$10</c:f>
              <c:strCache>
                <c:ptCount val="8"/>
                <c:pt idx="0">
                  <c:v>NE</c:v>
                </c:pt>
                <c:pt idx="1">
                  <c:v>SD</c:v>
                </c:pt>
                <c:pt idx="2">
                  <c:v>ND</c:v>
                </c:pt>
                <c:pt idx="3">
                  <c:v>IA</c:v>
                </c:pt>
                <c:pt idx="4">
                  <c:v>USA AVG</c:v>
                </c:pt>
                <c:pt idx="5">
                  <c:v>MO</c:v>
                </c:pt>
                <c:pt idx="6">
                  <c:v>MN</c:v>
                </c:pt>
                <c:pt idx="7">
                  <c:v>KS</c:v>
                </c:pt>
              </c:strCache>
            </c:strRef>
          </c:cat>
          <c:val>
            <c:numRef>
              <c:f>Sheet1!$G$3:$G$10</c:f>
              <c:numCache>
                <c:formatCode>General</c:formatCode>
                <c:ptCount val="8"/>
                <c:pt idx="0">
                  <c:v>12.3</c:v>
                </c:pt>
                <c:pt idx="1">
                  <c:v>16.100000000000001</c:v>
                </c:pt>
                <c:pt idx="2">
                  <c:v>16.2</c:v>
                </c:pt>
                <c:pt idx="3">
                  <c:v>16.600000000000001</c:v>
                </c:pt>
                <c:pt idx="4">
                  <c:v>18.2</c:v>
                </c:pt>
                <c:pt idx="5">
                  <c:v>21.3</c:v>
                </c:pt>
                <c:pt idx="6">
                  <c:v>23.3</c:v>
                </c:pt>
                <c:pt idx="7">
                  <c:v>26.7</c:v>
                </c:pt>
              </c:numCache>
            </c:numRef>
          </c:val>
          <c:extLst>
            <c:ext xmlns:c16="http://schemas.microsoft.com/office/drawing/2014/chart" uri="{C3380CC4-5D6E-409C-BE32-E72D297353CC}">
              <c16:uniqueId val="{00000004-66D2-4C47-84FC-FE99F780C5ED}"/>
            </c:ext>
          </c:extLst>
        </c:ser>
        <c:dLbls>
          <c:showLegendKey val="0"/>
          <c:showVal val="0"/>
          <c:showCatName val="0"/>
          <c:showSerName val="0"/>
          <c:showPercent val="0"/>
          <c:showBubbleSize val="0"/>
        </c:dLbls>
        <c:gapWidth val="219"/>
        <c:overlap val="-27"/>
        <c:axId val="352753272"/>
        <c:axId val="352756552"/>
      </c:barChart>
      <c:catAx>
        <c:axId val="352753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756552"/>
        <c:crosses val="autoZero"/>
        <c:auto val="1"/>
        <c:lblAlgn val="ctr"/>
        <c:lblOffset val="100"/>
        <c:noMultiLvlLbl val="0"/>
      </c:catAx>
      <c:valAx>
        <c:axId val="352756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753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0.10389</cdr:x>
      <cdr:y>0.12644</cdr:y>
    </cdr:from>
    <cdr:to>
      <cdr:x>0.47264</cdr:x>
      <cdr:y>0.27804</cdr:y>
    </cdr:to>
    <cdr:sp macro="" textlink="">
      <cdr:nvSpPr>
        <cdr:cNvPr id="6" name="TextBox 1"/>
        <cdr:cNvSpPr txBox="1"/>
      </cdr:nvSpPr>
      <cdr:spPr>
        <a:xfrm xmlns:a="http://schemas.openxmlformats.org/drawingml/2006/main">
          <a:off x="499110" y="403695"/>
          <a:ext cx="1771650" cy="484035"/>
        </a:xfrm>
        <a:prstGeom xmlns:a="http://schemas.openxmlformats.org/drawingml/2006/main" prst="rect">
          <a:avLst/>
        </a:prstGeom>
        <a:solidFill xmlns:a="http://schemas.openxmlformats.org/drawingml/2006/main">
          <a:srgbClr val="FCFAB8"/>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700"/>
            <a:t>Set by formula based on economic conditions automatically from the beginning of the formula through 1993-94.</a:t>
          </a:r>
        </a:p>
      </cdr:txBody>
    </cdr:sp>
  </cdr:relSizeAnchor>
  <cdr:relSizeAnchor xmlns:cdr="http://schemas.openxmlformats.org/drawingml/2006/chartDrawing">
    <cdr:from>
      <cdr:x>0.64316</cdr:x>
      <cdr:y>0.67735</cdr:y>
    </cdr:from>
    <cdr:to>
      <cdr:x>0.98987</cdr:x>
      <cdr:y>0.71794</cdr:y>
    </cdr:to>
    <cdr:sp macro="" textlink="">
      <cdr:nvSpPr>
        <cdr:cNvPr id="2" name="TextBox 1"/>
        <cdr:cNvSpPr txBox="1"/>
      </cdr:nvSpPr>
      <cdr:spPr>
        <a:xfrm xmlns:a="http://schemas.openxmlformats.org/drawingml/2006/main">
          <a:off x="6125282" y="4669353"/>
          <a:ext cx="3301973" cy="279837"/>
        </a:xfrm>
        <a:prstGeom xmlns:a="http://schemas.openxmlformats.org/drawingml/2006/main" prst="rect">
          <a:avLst/>
        </a:prstGeom>
        <a:solidFill xmlns:a="http://schemas.openxmlformats.org/drawingml/2006/main">
          <a:srgbClr val="FF0000">
            <a:alpha val="16000"/>
          </a:srgbClr>
        </a:solidFill>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0.4736</cdr:x>
      <cdr:y>0.12488</cdr:y>
    </cdr:from>
    <cdr:to>
      <cdr:x>0.4736</cdr:x>
      <cdr:y>0.85611</cdr:y>
    </cdr:to>
    <cdr:cxnSp macro="">
      <cdr:nvCxnSpPr>
        <cdr:cNvPr id="4" name="Straight Connector 3">
          <a:extLst xmlns:a="http://schemas.openxmlformats.org/drawingml/2006/main">
            <a:ext uri="{FF2B5EF4-FFF2-40B4-BE49-F238E27FC236}">
              <a16:creationId xmlns:a16="http://schemas.microsoft.com/office/drawing/2014/main" id="{83017345-1ED9-4459-8589-146FBD239BC9}"/>
            </a:ext>
          </a:extLst>
        </cdr:cNvPr>
        <cdr:cNvCxnSpPr/>
      </cdr:nvCxnSpPr>
      <cdr:spPr>
        <a:xfrm xmlns:a="http://schemas.openxmlformats.org/drawingml/2006/main" flipV="1">
          <a:off x="4511040" y="835660"/>
          <a:ext cx="0" cy="50800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0.48694</cdr:x>
      <cdr:y>0.23895</cdr:y>
    </cdr:from>
    <cdr:to>
      <cdr:x>0.73387</cdr:x>
      <cdr:y>0.36874</cdr:y>
    </cdr:to>
    <cdr:sp macro="" textlink="">
      <cdr:nvSpPr>
        <cdr:cNvPr id="9" name="TextBox 1"/>
        <cdr:cNvSpPr txBox="1"/>
      </cdr:nvSpPr>
      <cdr:spPr>
        <a:xfrm xmlns:a="http://schemas.openxmlformats.org/drawingml/2006/main">
          <a:off x="2415539" y="762911"/>
          <a:ext cx="1224925" cy="414379"/>
        </a:xfrm>
        <a:prstGeom xmlns:a="http://schemas.openxmlformats.org/drawingml/2006/main" prst="rect">
          <a:avLst/>
        </a:prstGeom>
        <a:solidFill xmlns:a="http://schemas.openxmlformats.org/drawingml/2006/main">
          <a:srgbClr val="FCFAB8"/>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700"/>
            <a:t>Legislatively set one year in advance of the budget year beginning in 1994-95.</a:t>
          </a:r>
        </a:p>
      </cdr:txBody>
    </cdr:sp>
  </cdr:relSizeAnchor>
  <cdr:relSizeAnchor xmlns:cdr="http://schemas.openxmlformats.org/drawingml/2006/chartDrawing">
    <cdr:from>
      <cdr:x>0.88955</cdr:x>
      <cdr:y>0.13338</cdr:y>
    </cdr:from>
    <cdr:to>
      <cdr:x>0.88955</cdr:x>
      <cdr:y>0.86485</cdr:y>
    </cdr:to>
    <cdr:cxnSp macro="">
      <cdr:nvCxnSpPr>
        <cdr:cNvPr id="10" name="Straight Connector 9">
          <a:extLst xmlns:a="http://schemas.openxmlformats.org/drawingml/2006/main">
            <a:ext uri="{FF2B5EF4-FFF2-40B4-BE49-F238E27FC236}">
              <a16:creationId xmlns:a16="http://schemas.microsoft.com/office/drawing/2014/main" id="{63DF221F-3148-4CA5-BAC2-18795B31443A}"/>
            </a:ext>
          </a:extLst>
        </cdr:cNvPr>
        <cdr:cNvCxnSpPr/>
      </cdr:nvCxnSpPr>
      <cdr:spPr>
        <a:xfrm xmlns:a="http://schemas.openxmlformats.org/drawingml/2006/main" flipV="1">
          <a:off x="4412725" y="425841"/>
          <a:ext cx="0" cy="2335423"/>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0.74782</cdr:x>
      <cdr:y>0.19212</cdr:y>
    </cdr:from>
    <cdr:to>
      <cdr:x>0.98414</cdr:x>
      <cdr:y>0.38902</cdr:y>
    </cdr:to>
    <cdr:sp macro="" textlink="">
      <cdr:nvSpPr>
        <cdr:cNvPr id="7" name="TextBox 1"/>
        <cdr:cNvSpPr txBox="1"/>
      </cdr:nvSpPr>
      <cdr:spPr>
        <a:xfrm xmlns:a="http://schemas.openxmlformats.org/drawingml/2006/main">
          <a:off x="3709647" y="613411"/>
          <a:ext cx="1172295" cy="628650"/>
        </a:xfrm>
        <a:prstGeom xmlns:a="http://schemas.openxmlformats.org/drawingml/2006/main" prst="rect">
          <a:avLst/>
        </a:prstGeom>
        <a:solidFill xmlns:a="http://schemas.openxmlformats.org/drawingml/2006/main">
          <a:srgbClr val="FCFAB8"/>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700"/>
            <a:t>Beginning in FY18, set</a:t>
          </a:r>
          <a:r>
            <a:rPr lang="en-US" sz="700" baseline="0"/>
            <a:t> within 30 days of Gov.'s Budget, no longer a year in advance.</a:t>
          </a:r>
          <a:endParaRPr lang="en-US" sz="700"/>
        </a:p>
      </cdr:txBody>
    </cdr:sp>
  </cdr:relSizeAnchor>
  <cdr:relSizeAnchor xmlns:cdr="http://schemas.openxmlformats.org/drawingml/2006/chartDrawing">
    <cdr:from>
      <cdr:x>0.57677</cdr:x>
      <cdr:y>0.42825</cdr:y>
    </cdr:from>
    <cdr:to>
      <cdr:x>1</cdr:x>
      <cdr:y>0.65813</cdr:y>
    </cdr:to>
    <cdr:sp macro="" textlink="">
      <cdr:nvSpPr>
        <cdr:cNvPr id="5" name="TextBox 4"/>
        <cdr:cNvSpPr txBox="1"/>
      </cdr:nvSpPr>
      <cdr:spPr>
        <a:xfrm xmlns:a="http://schemas.openxmlformats.org/drawingml/2006/main">
          <a:off x="2762250" y="1274300"/>
          <a:ext cx="2026920" cy="684040"/>
        </a:xfrm>
        <a:prstGeom xmlns:a="http://schemas.openxmlformats.org/drawingml/2006/main" prst="rect">
          <a:avLst/>
        </a:prstGeom>
        <a:solidFill xmlns:a="http://schemas.openxmlformats.org/drawingml/2006/main">
          <a:srgbClr val="FCFAB8"/>
        </a:solidFill>
      </cdr:spPr>
      <cdr:txBody>
        <a:bodyPr xmlns:a="http://schemas.openxmlformats.org/drawingml/2006/main" vertOverflow="clip" wrap="square" rtlCol="0"/>
        <a:lstStyle xmlns:a="http://schemas.openxmlformats.org/drawingml/2006/main"/>
        <a:p xmlns:a="http://schemas.openxmlformats.org/drawingml/2006/main">
          <a:pPr>
            <a:lnSpc>
              <a:spcPts val="1100"/>
            </a:lnSpc>
          </a:pPr>
          <a:r>
            <a:rPr lang="en-US" sz="800"/>
            <a:t>Historical annual cost increase</a:t>
          </a:r>
          <a:r>
            <a:rPr lang="en-US" sz="800" baseline="0"/>
            <a:t> of doing school is 3.0-4.0% (orange band below): SSA set in 12 of the last 13 years lags the cost increase schools have faced.</a:t>
          </a:r>
          <a:endParaRPr lang="en-US" sz="800"/>
        </a:p>
      </cdr:txBody>
    </cdr:sp>
  </cdr:relSizeAnchor>
  <cdr:relSizeAnchor xmlns:cdr="http://schemas.openxmlformats.org/drawingml/2006/chartDrawing">
    <cdr:from>
      <cdr:x>0.00533</cdr:x>
      <cdr:y>0.00737</cdr:y>
    </cdr:from>
    <cdr:to>
      <cdr:x>0.11375</cdr:x>
      <cdr:y>0.07225</cdr:y>
    </cdr:to>
    <cdr:pic>
      <cdr:nvPicPr>
        <cdr:cNvPr id="11" name="Picture 10">
          <a:extLst xmlns:a="http://schemas.openxmlformats.org/drawingml/2006/main">
            <a:ext uri="{FF2B5EF4-FFF2-40B4-BE49-F238E27FC236}">
              <a16:creationId xmlns:a16="http://schemas.microsoft.com/office/drawing/2014/main" id="{161739DA-78A7-4CD2-AE55-2209A4A3B8B5}"/>
            </a:ext>
          </a:extLst>
        </cdr:cNvPr>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800" y="50800"/>
          <a:ext cx="1032510" cy="43878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B91A7-AFF0-4E24-B693-00A4949A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Margo</dc:creator>
  <cp:lastModifiedBy>Jen</cp:lastModifiedBy>
  <cp:revision>2</cp:revision>
  <cp:lastPrinted>2019-10-11T21:21:00Z</cp:lastPrinted>
  <dcterms:created xsi:type="dcterms:W3CDTF">2022-12-06T16:08:00Z</dcterms:created>
  <dcterms:modified xsi:type="dcterms:W3CDTF">2022-12-06T16:08:00Z</dcterms:modified>
</cp:coreProperties>
</file>